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Cómo leer la Biblia sin perderte</w:t>
      </w:r>
    </w:p>
    <w:p>
      <w:pPr>
        <w:widowControl/>
      </w:pPr>
      <w:r>
        <w:t>Guía del alumno</w:t>
      </w:r>
    </w:p>
    <w:p>
      <w:pPr>
        <w:widowControl/>
      </w:pPr>
      <w:r>
        <w:t>Proyecto de Eduardo Lauria</w:t>
      </w:r>
    </w:p>
    <w:p>
      <w:pPr>
        <w:widowControl/>
      </w:pPr>
      <w:r>
        <w:t>Curso gratuito de seis clases</w:t>
      </w:r>
    </w:p>
    <w:p>
      <w:pPr>
        <w:widowControl/>
      </w:pPr>
      <w:r>
        <w:t>Edición 1 · Noviembre de 2026</w:t>
      </w:r>
    </w:p>
    <w:p>
      <w:pPr>
        <w:widowControl/>
      </w:pPr>
      <w:r>
        <w:t>Aprende a estudiar un pasaje, explicar su idea principal, reconocer su relación con Jesucristo y responder con una aplicación responsable.</w:t>
      </w:r>
    </w:p>
    <w:p>
      <w:pPr>
        <w:widowControl/>
      </w:pPr>
      <w:r>
        <w:t>Identidad evangélica, trinitaria, cristocéntrica y no denominacional.</w:t>
      </w:r>
    </w:p>
    <w:p>
      <w:pPr>
        <w:widowControl/>
      </w:pPr>
      <w:r>
        <w:rPr>
          <w:b/>
        </w:rPr>
        <w:t>Nombre:</w:t>
      </w:r>
    </w:p>
    <w:p>
      <w:pPr>
        <w:keepNext w:val="0"/>
        <w:spacing w:after="0" w:line="240" w:lineRule="exact"/>
      </w:pPr>
      <w:r>
        <w:br/>
      </w:r>
    </w:p>
    <w:p>
      <w:pPr>
        <w:widowControl/>
      </w:pPr>
      <w:r>
        <w:rPr>
          <w:b/>
        </w:rPr>
        <w:t>Fecha de inicio:</w:t>
      </w:r>
    </w:p>
    <w:p>
      <w:pPr>
        <w:keepNext w:val="0"/>
        <w:spacing w:after="0" w:line="240" w:lineRule="exact"/>
      </w:pPr>
      <w:r/>
    </w:p>
    <w:p>
      <w:r>
        <w:br w:type="page"/>
      </w:r>
    </w:p>
    <w:p>
      <w:pPr>
        <w:pStyle w:val="Heading1"/>
      </w:pPr>
      <w:r>
        <w:t>Antes de comenzar</w:t>
      </w:r>
    </w:p>
    <w:p>
      <w:pPr>
        <w:widowControl/>
      </w:pPr>
      <w:r>
        <w:t>Esta guía acompaña las seis clases del curso. Necesitas una Biblia en español, un lápiz o editor de texto y disposición para revisar tus primeras conclusiones. Puedes estudiar aunque todavía estés explorando la fe cristiana. Los ejercicios evalúan comprensión y razonamiento, sin exigir una declaración religiosa personal.</w:t>
      </w:r>
    </w:p>
    <w:p>
      <w:pPr>
        <w:widowControl/>
      </w:pPr>
      <w:r>
        <w:t>Utilizaremos RVR1960 como referencia. Puedes seguir otra traducción reconocida en español y anotarla. Aquí las explicaciones son redacción pedagógica propia; abre tu Biblia para leer los pasajes completos. Una paráfrasis explicativa no debe confundirse con una cita textual.</w:t>
      </w:r>
    </w:p>
    <w:p>
      <w:pPr>
        <w:pStyle w:val="Heading2"/>
      </w:pPr>
      <w:r>
        <w:t>Un recorrido de seis horas</w:t>
      </w:r>
    </w:p>
    <w:p>
      <w:pPr>
        <w:widowControl/>
      </w:pPr>
      <w:r>
        <w:t>Realiza una clase por sesión. Reserva aproximadamente 60 minutos: hasta 20 para el video con sus lecturas y práctica acompañada; 15 para releer el texto; 20 para la actividad escrita; y 5 para revisar tus respuestas. Si el video dura menos, dedica ese tiempo a volver al pasaje. Las seis sesiones suman unas seis horas. Puedes distribuirlas durante una semana o avanzar a tu ritmo.</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936"/>
        <w:gridCol w:w="3888"/>
        <w:gridCol w:w="5256"/>
      </w:tblGrid>
      <w:tr>
        <w:trPr>
          <w:cantSplit/>
          <w:tblHeader/>
        </w:trPr>
        <w:tc>
          <w:tcPr>
            <w:tcW w:type="dxa" w:w="936"/>
            <w:vAlign w:val="center"/>
            <w:shd w:fill="E8EDF2"/>
            <w:tcMar>
              <w:top w:w="95" w:type="dxa"/>
              <w:left w:w="95" w:type="dxa"/>
              <w:bottom w:w="95" w:type="dxa"/>
              <w:right w:w="95" w:type="dxa"/>
            </w:tcMar>
          </w:tcPr>
          <w:p>
            <w:pPr>
              <w:spacing w:after="20" w:before="20" w:line="252" w:lineRule="auto"/>
              <w:jc w:val="center"/>
            </w:pPr>
            <w:r>
              <w:rPr>
                <w:b/>
                <w:sz w:val="20"/>
              </w:rPr>
              <w:t>Sesión</w:t>
            </w:r>
          </w:p>
        </w:tc>
        <w:tc>
          <w:tcPr>
            <w:tcW w:type="dxa" w:w="3888"/>
            <w:vAlign w:val="center"/>
            <w:shd w:fill="E8EDF2"/>
            <w:tcMar>
              <w:top w:w="95" w:type="dxa"/>
              <w:left w:w="95" w:type="dxa"/>
              <w:bottom w:w="95" w:type="dxa"/>
              <w:right w:w="95" w:type="dxa"/>
            </w:tcMar>
          </w:tcPr>
          <w:p>
            <w:pPr>
              <w:spacing w:after="20" w:before="20" w:line="252" w:lineRule="auto"/>
            </w:pPr>
            <w:r>
              <w:rPr>
                <w:b/>
                <w:sz w:val="20"/>
              </w:rPr>
              <w:t>Aprenderás a</w:t>
            </w:r>
          </w:p>
        </w:tc>
        <w:tc>
          <w:tcPr>
            <w:tcW w:type="dxa" w:w="5256"/>
            <w:vAlign w:val="center"/>
            <w:shd w:fill="E8EDF2"/>
            <w:tcMar>
              <w:top w:w="95" w:type="dxa"/>
              <w:left w:w="95" w:type="dxa"/>
              <w:bottom w:w="95" w:type="dxa"/>
              <w:right w:w="95" w:type="dxa"/>
            </w:tcMar>
          </w:tcPr>
          <w:p>
            <w:pPr>
              <w:spacing w:after="20" w:before="20" w:line="252" w:lineRule="auto"/>
            </w:pPr>
            <w:r>
              <w:rPr>
                <w:b/>
                <w:sz w:val="20"/>
              </w:rPr>
              <w:t>Pasaje o práctica principal</w:t>
            </w:r>
          </w:p>
        </w:tc>
      </w:tr>
      <w:tr>
        <w:trPr>
          <w:cantSplit/>
        </w:trPr>
        <w:tc>
          <w:tcPr>
            <w:tcW w:type="dxa" w:w="936"/>
            <w:vAlign w:val="center"/>
            <w:shd w:fill="FFFFFF"/>
            <w:tcMar>
              <w:top w:w="95" w:type="dxa"/>
              <w:left w:w="95" w:type="dxa"/>
              <w:bottom w:w="95" w:type="dxa"/>
              <w:right w:w="95" w:type="dxa"/>
            </w:tcMar>
          </w:tcPr>
          <w:p>
            <w:pPr>
              <w:spacing w:after="20" w:before="20" w:line="252" w:lineRule="auto"/>
              <w:jc w:val="center"/>
            </w:pPr>
            <w:r>
              <w:rPr>
                <w:b w:val="0"/>
                <w:sz w:val="20"/>
              </w:rPr>
              <w:t>1</w:t>
            </w:r>
          </w:p>
        </w:tc>
        <w:tc>
          <w:tcPr>
            <w:tcW w:type="dxa" w:w="3888"/>
            <w:vAlign w:val="center"/>
            <w:shd w:fill="FFFFFF"/>
            <w:tcMar>
              <w:top w:w="95" w:type="dxa"/>
              <w:left w:w="95" w:type="dxa"/>
              <w:bottom w:w="95" w:type="dxa"/>
              <w:right w:w="95" w:type="dxa"/>
            </w:tcMar>
          </w:tcPr>
          <w:p>
            <w:pPr>
              <w:spacing w:after="20" w:before="20" w:line="252" w:lineRule="auto"/>
            </w:pPr>
            <w:r>
              <w:rPr>
                <w:b w:val="0"/>
                <w:sz w:val="20"/>
              </w:rPr>
              <w:t>Ubicar libros y reconocer géneros</w:t>
            </w:r>
          </w:p>
        </w:tc>
        <w:tc>
          <w:tcPr>
            <w:tcW w:type="dxa" w:w="5256"/>
            <w:vAlign w:val="center"/>
            <w:shd w:fill="FFFFFF"/>
            <w:tcMar>
              <w:top w:w="95" w:type="dxa"/>
              <w:left w:w="95" w:type="dxa"/>
              <w:bottom w:w="95" w:type="dxa"/>
              <w:right w:w="95" w:type="dxa"/>
            </w:tcMar>
          </w:tcPr>
          <w:p>
            <w:pPr>
              <w:spacing w:after="20" w:before="20" w:line="252" w:lineRule="auto"/>
            </w:pPr>
            <w:r>
              <w:rPr>
                <w:b w:val="0"/>
                <w:sz w:val="20"/>
              </w:rPr>
              <w:t>Índice bíblico y Lucas 24:44–49</w:t>
            </w:r>
          </w:p>
        </w:tc>
      </w:tr>
      <w:tr>
        <w:trPr>
          <w:cantSplit/>
        </w:trPr>
        <w:tc>
          <w:tcPr>
            <w:tcW w:type="dxa" w:w="936"/>
            <w:vAlign w:val="center"/>
            <w:shd w:fill="F5F7F9"/>
            <w:tcMar>
              <w:top w:w="95" w:type="dxa"/>
              <w:left w:w="95" w:type="dxa"/>
              <w:bottom w:w="95" w:type="dxa"/>
              <w:right w:w="95" w:type="dxa"/>
            </w:tcMar>
          </w:tcPr>
          <w:p>
            <w:pPr>
              <w:spacing w:after="20" w:before="20" w:line="252" w:lineRule="auto"/>
              <w:jc w:val="center"/>
            </w:pPr>
            <w:r>
              <w:rPr>
                <w:b w:val="0"/>
                <w:sz w:val="20"/>
              </w:rPr>
              <w:t>2</w:t>
            </w:r>
          </w:p>
        </w:tc>
        <w:tc>
          <w:tcPr>
            <w:tcW w:type="dxa" w:w="3888"/>
            <w:vAlign w:val="center"/>
            <w:shd w:fill="F5F7F9"/>
            <w:tcMar>
              <w:top w:w="95" w:type="dxa"/>
              <w:left w:w="95" w:type="dxa"/>
              <w:bottom w:w="95" w:type="dxa"/>
              <w:right w:w="95" w:type="dxa"/>
            </w:tcMar>
          </w:tcPr>
          <w:p>
            <w:pPr>
              <w:spacing w:after="20" w:before="20" w:line="252" w:lineRule="auto"/>
            </w:pPr>
            <w:r>
              <w:rPr>
                <w:b w:val="0"/>
                <w:sz w:val="20"/>
              </w:rPr>
              <w:t>Leer una frase en su contexto</w:t>
            </w:r>
          </w:p>
        </w:tc>
        <w:tc>
          <w:tcPr>
            <w:tcW w:type="dxa" w:w="5256"/>
            <w:vAlign w:val="center"/>
            <w:shd w:fill="F5F7F9"/>
            <w:tcMar>
              <w:top w:w="95" w:type="dxa"/>
              <w:left w:w="95" w:type="dxa"/>
              <w:bottom w:w="95" w:type="dxa"/>
              <w:right w:w="95" w:type="dxa"/>
            </w:tcMar>
          </w:tcPr>
          <w:p>
            <w:pPr>
              <w:spacing w:after="20" w:before="20" w:line="252" w:lineRule="auto"/>
            </w:pPr>
            <w:r>
              <w:rPr>
                <w:b w:val="0"/>
                <w:sz w:val="20"/>
              </w:rPr>
              <w:t>Filipenses 4:10–20</w:t>
            </w:r>
          </w:p>
        </w:tc>
      </w:tr>
      <w:tr>
        <w:trPr>
          <w:cantSplit/>
        </w:trPr>
        <w:tc>
          <w:tcPr>
            <w:tcW w:type="dxa" w:w="936"/>
            <w:vAlign w:val="center"/>
            <w:shd w:fill="FFFFFF"/>
            <w:tcMar>
              <w:top w:w="95" w:type="dxa"/>
              <w:left w:w="95" w:type="dxa"/>
              <w:bottom w:w="95" w:type="dxa"/>
              <w:right w:w="95" w:type="dxa"/>
            </w:tcMar>
          </w:tcPr>
          <w:p>
            <w:pPr>
              <w:spacing w:after="20" w:before="20" w:line="252" w:lineRule="auto"/>
              <w:jc w:val="center"/>
            </w:pPr>
            <w:r>
              <w:rPr>
                <w:b w:val="0"/>
                <w:sz w:val="20"/>
              </w:rPr>
              <w:t>3</w:t>
            </w:r>
          </w:p>
        </w:tc>
        <w:tc>
          <w:tcPr>
            <w:tcW w:type="dxa" w:w="3888"/>
            <w:vAlign w:val="center"/>
            <w:shd w:fill="FFFFFF"/>
            <w:tcMar>
              <w:top w:w="95" w:type="dxa"/>
              <w:left w:w="95" w:type="dxa"/>
              <w:bottom w:w="95" w:type="dxa"/>
              <w:right w:w="95" w:type="dxa"/>
            </w:tcMar>
          </w:tcPr>
          <w:p>
            <w:pPr>
              <w:spacing w:after="20" w:before="20" w:line="252" w:lineRule="auto"/>
            </w:pPr>
            <w:r>
              <w:rPr>
                <w:b w:val="0"/>
                <w:sz w:val="20"/>
              </w:rPr>
              <w:t>Registrar observaciones</w:t>
            </w:r>
          </w:p>
        </w:tc>
        <w:tc>
          <w:tcPr>
            <w:tcW w:type="dxa" w:w="5256"/>
            <w:vAlign w:val="center"/>
            <w:shd w:fill="FFFFFF"/>
            <w:tcMar>
              <w:top w:w="95" w:type="dxa"/>
              <w:left w:w="95" w:type="dxa"/>
              <w:bottom w:w="95" w:type="dxa"/>
              <w:right w:w="95" w:type="dxa"/>
            </w:tcMar>
          </w:tcPr>
          <w:p>
            <w:pPr>
              <w:spacing w:after="20" w:before="20" w:line="252" w:lineRule="auto"/>
            </w:pPr>
            <w:r>
              <w:rPr>
                <w:b w:val="0"/>
                <w:sz w:val="20"/>
              </w:rPr>
              <w:t>Marcos 4:35–41</w:t>
            </w:r>
          </w:p>
        </w:tc>
      </w:tr>
      <w:tr>
        <w:trPr>
          <w:cantSplit/>
        </w:trPr>
        <w:tc>
          <w:tcPr>
            <w:tcW w:type="dxa" w:w="936"/>
            <w:vAlign w:val="center"/>
            <w:shd w:fill="F5F7F9"/>
            <w:tcMar>
              <w:top w:w="95" w:type="dxa"/>
              <w:left w:w="95" w:type="dxa"/>
              <w:bottom w:w="95" w:type="dxa"/>
              <w:right w:w="95" w:type="dxa"/>
            </w:tcMar>
          </w:tcPr>
          <w:p>
            <w:pPr>
              <w:spacing w:after="20" w:before="20" w:line="252" w:lineRule="auto"/>
              <w:jc w:val="center"/>
            </w:pPr>
            <w:r>
              <w:rPr>
                <w:b w:val="0"/>
                <w:sz w:val="20"/>
              </w:rPr>
              <w:t>4</w:t>
            </w:r>
          </w:p>
        </w:tc>
        <w:tc>
          <w:tcPr>
            <w:tcW w:type="dxa" w:w="3888"/>
            <w:vAlign w:val="center"/>
            <w:shd w:fill="F5F7F9"/>
            <w:tcMar>
              <w:top w:w="95" w:type="dxa"/>
              <w:left w:w="95" w:type="dxa"/>
              <w:bottom w:w="95" w:type="dxa"/>
              <w:right w:w="95" w:type="dxa"/>
            </w:tcMar>
          </w:tcPr>
          <w:p>
            <w:pPr>
              <w:spacing w:after="20" w:before="20" w:line="252" w:lineRule="auto"/>
            </w:pPr>
            <w:r>
              <w:rPr>
                <w:b w:val="0"/>
                <w:sz w:val="20"/>
              </w:rPr>
              <w:t>Justificar una interpretación</w:t>
            </w:r>
          </w:p>
        </w:tc>
        <w:tc>
          <w:tcPr>
            <w:tcW w:type="dxa" w:w="5256"/>
            <w:vAlign w:val="center"/>
            <w:shd w:fill="F5F7F9"/>
            <w:tcMar>
              <w:top w:w="95" w:type="dxa"/>
              <w:left w:w="95" w:type="dxa"/>
              <w:bottom w:w="95" w:type="dxa"/>
              <w:right w:w="95" w:type="dxa"/>
            </w:tcMar>
          </w:tcPr>
          <w:p>
            <w:pPr>
              <w:spacing w:after="20" w:before="20" w:line="252" w:lineRule="auto"/>
            </w:pPr>
            <w:r>
              <w:rPr>
                <w:b w:val="0"/>
                <w:sz w:val="20"/>
              </w:rPr>
              <w:t>Marcos 4:35–41</w:t>
            </w:r>
          </w:p>
        </w:tc>
      </w:tr>
      <w:tr>
        <w:trPr>
          <w:cantSplit/>
        </w:trPr>
        <w:tc>
          <w:tcPr>
            <w:tcW w:type="dxa" w:w="936"/>
            <w:vAlign w:val="center"/>
            <w:shd w:fill="FFFFFF"/>
            <w:tcMar>
              <w:top w:w="95" w:type="dxa"/>
              <w:left w:w="95" w:type="dxa"/>
              <w:bottom w:w="95" w:type="dxa"/>
              <w:right w:w="95" w:type="dxa"/>
            </w:tcMar>
          </w:tcPr>
          <w:p>
            <w:pPr>
              <w:spacing w:after="20" w:before="20" w:line="252" w:lineRule="auto"/>
              <w:jc w:val="center"/>
            </w:pPr>
            <w:r>
              <w:rPr>
                <w:b w:val="0"/>
                <w:sz w:val="20"/>
              </w:rPr>
              <w:t>5</w:t>
            </w:r>
          </w:p>
        </w:tc>
        <w:tc>
          <w:tcPr>
            <w:tcW w:type="dxa" w:w="3888"/>
            <w:vAlign w:val="center"/>
            <w:shd w:fill="FFFFFF"/>
            <w:tcMar>
              <w:top w:w="95" w:type="dxa"/>
              <w:left w:w="95" w:type="dxa"/>
              <w:bottom w:w="95" w:type="dxa"/>
              <w:right w:w="95" w:type="dxa"/>
            </w:tcMar>
          </w:tcPr>
          <w:p>
            <w:pPr>
              <w:spacing w:after="20" w:before="20" w:line="252" w:lineRule="auto"/>
            </w:pPr>
            <w:r>
              <w:rPr>
                <w:b w:val="0"/>
                <w:sz w:val="20"/>
              </w:rPr>
              <w:t>Reconocer conexiones con Cristo</w:t>
            </w:r>
          </w:p>
        </w:tc>
        <w:tc>
          <w:tcPr>
            <w:tcW w:type="dxa" w:w="5256"/>
            <w:vAlign w:val="center"/>
            <w:shd w:fill="FFFFFF"/>
            <w:tcMar>
              <w:top w:w="95" w:type="dxa"/>
              <w:left w:w="95" w:type="dxa"/>
              <w:bottom w:w="95" w:type="dxa"/>
              <w:right w:w="95" w:type="dxa"/>
            </w:tcMar>
          </w:tcPr>
          <w:p>
            <w:pPr>
              <w:spacing w:after="20" w:before="20" w:line="252" w:lineRule="auto"/>
            </w:pPr>
            <w:r>
              <w:rPr>
                <w:b w:val="0"/>
                <w:sz w:val="20"/>
              </w:rPr>
              <w:t>Lucas 24:25–27 en 24:13–35</w:t>
            </w:r>
          </w:p>
        </w:tc>
      </w:tr>
      <w:tr>
        <w:trPr>
          <w:cantSplit/>
        </w:trPr>
        <w:tc>
          <w:tcPr>
            <w:tcW w:type="dxa" w:w="936"/>
            <w:vAlign w:val="center"/>
            <w:shd w:fill="F5F7F9"/>
            <w:tcMar>
              <w:top w:w="95" w:type="dxa"/>
              <w:left w:w="95" w:type="dxa"/>
              <w:bottom w:w="95" w:type="dxa"/>
              <w:right w:w="95" w:type="dxa"/>
            </w:tcMar>
          </w:tcPr>
          <w:p>
            <w:pPr>
              <w:spacing w:after="20" w:before="20" w:line="252" w:lineRule="auto"/>
              <w:jc w:val="center"/>
            </w:pPr>
            <w:r>
              <w:rPr>
                <w:b w:val="0"/>
                <w:sz w:val="20"/>
              </w:rPr>
              <w:t>6</w:t>
            </w:r>
          </w:p>
        </w:tc>
        <w:tc>
          <w:tcPr>
            <w:tcW w:type="dxa" w:w="3888"/>
            <w:vAlign w:val="center"/>
            <w:shd w:fill="F5F7F9"/>
            <w:tcMar>
              <w:top w:w="95" w:type="dxa"/>
              <w:left w:w="95" w:type="dxa"/>
              <w:bottom w:w="95" w:type="dxa"/>
              <w:right w:w="95" w:type="dxa"/>
            </w:tcMar>
          </w:tcPr>
          <w:p>
            <w:pPr>
              <w:spacing w:after="20" w:before="20" w:line="252" w:lineRule="auto"/>
            </w:pPr>
            <w:r>
              <w:rPr>
                <w:b w:val="0"/>
                <w:sz w:val="20"/>
              </w:rPr>
              <w:t>Formular una aplicación</w:t>
            </w:r>
          </w:p>
        </w:tc>
        <w:tc>
          <w:tcPr>
            <w:tcW w:type="dxa" w:w="5256"/>
            <w:vAlign w:val="center"/>
            <w:shd w:fill="F5F7F9"/>
            <w:tcMar>
              <w:top w:w="95" w:type="dxa"/>
              <w:left w:w="95" w:type="dxa"/>
              <w:bottom w:w="95" w:type="dxa"/>
              <w:right w:w="95" w:type="dxa"/>
            </w:tcMar>
          </w:tcPr>
          <w:p>
            <w:pPr>
              <w:spacing w:after="20" w:before="20" w:line="252" w:lineRule="auto"/>
            </w:pPr>
            <w:r>
              <w:rPr>
                <w:b w:val="0"/>
                <w:sz w:val="20"/>
              </w:rPr>
              <w:t>Lucas 10:38–42</w:t>
            </w:r>
          </w:p>
        </w:tc>
      </w:tr>
    </w:tbl>
    <w:p>
      <w:pPr>
        <w:spacing w:after="40"/>
      </w:pPr>
    </w:p>
    <w:p>
      <w:pPr>
        <w:pStyle w:val="Heading2"/>
      </w:pPr>
      <w:r>
        <w:t>Cinco preguntas para volver al texto</w:t>
      </w:r>
    </w:p>
    <w:p>
      <w:pPr>
        <w:widowControl/>
      </w:pPr>
      <w:r>
        <w:t>1. ¿Qué observo y dónde aparece?</w:t>
      </w:r>
    </w:p>
    <w:p>
      <w:pPr>
        <w:widowControl/>
      </w:pPr>
      <w:r>
        <w:t>2. ¿Qué contexto necesito para comprenderlo?</w:t>
      </w:r>
    </w:p>
    <w:p>
      <w:pPr>
        <w:widowControl/>
      </w:pPr>
      <w:r>
        <w:t>3. ¿Qué comunica esta unidad?</w:t>
      </w:r>
    </w:p>
    <w:p>
      <w:pPr>
        <w:widowControl/>
      </w:pPr>
      <w:r>
        <w:t>4. ¿Cómo se relaciona con el conjunto bíblico y con Cristo?</w:t>
      </w:r>
    </w:p>
    <w:p>
      <w:pPr>
        <w:widowControl/>
      </w:pPr>
      <w:r>
        <w:t>5. ¿Qué aplicación se desprende de esa lectura?</w:t>
      </w:r>
    </w:p>
    <w:p>
      <w:pPr>
        <w:widowControl/>
      </w:pPr>
      <w:r>
        <w:rPr>
          <w:b/>
        </w:rPr>
        <w:t>Mi punto de partida:</w:t>
      </w:r>
      <w:r>
        <w:t xml:space="preserve"> ¿Qué me cuesta más cuando leo la Biblia y qué espero aprender?</w:t>
      </w:r>
    </w:p>
    <w:p>
      <w:pPr>
        <w:keepNext w:val="0"/>
        <w:spacing w:after="0" w:line="240" w:lineRule="exact"/>
      </w:pPr>
      <w:r>
        <w:br/>
        <w:br/>
      </w:r>
    </w:p>
    <w:p>
      <w:r>
        <w:br w:type="page"/>
      </w:r>
    </w:p>
    <w:p>
      <w:pPr>
        <w:pStyle w:val="Heading1"/>
      </w:pPr>
      <w:r>
        <w:t>Un mapa para orientarte</w:t>
      </w:r>
    </w:p>
    <w:p>
      <w:pPr>
        <w:widowControl/>
      </w:pPr>
      <w:r>
        <w:t>El canon protestante tiene 66 libros: 39 en el Antiguo Testamento y 27 en el Nuevo. Otras tradiciones cristianas presentan diferencias de canon. Esta agrupación es una ayuda de navegación, no una descripción exhaustiva de cada libro ni un calendario exacto de acontecimientos.</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872"/>
        <w:gridCol w:w="1872"/>
        <w:gridCol w:w="6336"/>
      </w:tblGrid>
      <w:tr>
        <w:trPr>
          <w:cantSplit/>
          <w:tblHeader/>
        </w:trPr>
        <w:tc>
          <w:tcPr>
            <w:tcW w:type="dxa" w:w="1872"/>
            <w:vAlign w:val="center"/>
            <w:shd w:fill="E8EDF2"/>
            <w:tcMar>
              <w:top w:w="95" w:type="dxa"/>
              <w:left w:w="95" w:type="dxa"/>
              <w:bottom w:w="95" w:type="dxa"/>
              <w:right w:w="95" w:type="dxa"/>
            </w:tcMar>
          </w:tcPr>
          <w:p>
            <w:pPr>
              <w:spacing w:after="20" w:before="20" w:line="252" w:lineRule="auto"/>
            </w:pPr>
            <w:r>
              <w:rPr>
                <w:b/>
                <w:sz w:val="20"/>
              </w:rPr>
              <w:t>Sección</w:t>
            </w:r>
          </w:p>
        </w:tc>
        <w:tc>
          <w:tcPr>
            <w:tcW w:type="dxa" w:w="1872"/>
            <w:vAlign w:val="center"/>
            <w:shd w:fill="E8EDF2"/>
            <w:tcMar>
              <w:top w:w="95" w:type="dxa"/>
              <w:left w:w="95" w:type="dxa"/>
              <w:bottom w:w="95" w:type="dxa"/>
              <w:right w:w="95" w:type="dxa"/>
            </w:tcMar>
          </w:tcPr>
          <w:p>
            <w:pPr>
              <w:spacing w:after="20" w:before="20" w:line="252" w:lineRule="auto"/>
            </w:pPr>
            <w:r>
              <w:rPr>
                <w:b/>
                <w:sz w:val="20"/>
              </w:rPr>
              <w:t>Libros</w:t>
            </w:r>
          </w:p>
        </w:tc>
        <w:tc>
          <w:tcPr>
            <w:tcW w:type="dxa" w:w="6336"/>
            <w:vAlign w:val="center"/>
            <w:shd w:fill="E8EDF2"/>
            <w:tcMar>
              <w:top w:w="95" w:type="dxa"/>
              <w:left w:w="95" w:type="dxa"/>
              <w:bottom w:w="95" w:type="dxa"/>
              <w:right w:w="95" w:type="dxa"/>
            </w:tcMar>
          </w:tcPr>
          <w:p>
            <w:pPr>
              <w:spacing w:after="20" w:before="20" w:line="252" w:lineRule="auto"/>
            </w:pPr>
            <w:r>
              <w:rPr>
                <w:b/>
                <w:sz w:val="20"/>
              </w:rPr>
              <w:t>Orientación de lectura</w:t>
            </w:r>
          </w:p>
        </w:tc>
      </w:tr>
      <w:tr>
        <w:trPr>
          <w:cantSplit/>
        </w:trPr>
        <w:tc>
          <w:tcPr>
            <w:tcW w:type="dxa" w:w="1872"/>
            <w:vAlign w:val="center"/>
            <w:shd w:fill="FFFFFF"/>
            <w:tcMar>
              <w:top w:w="95" w:type="dxa"/>
              <w:left w:w="95" w:type="dxa"/>
              <w:bottom w:w="95" w:type="dxa"/>
              <w:right w:w="95" w:type="dxa"/>
            </w:tcMar>
          </w:tcPr>
          <w:p>
            <w:pPr>
              <w:spacing w:after="20" w:before="20" w:line="252" w:lineRule="auto"/>
            </w:pPr>
            <w:r>
              <w:rPr>
                <w:b w:val="0"/>
                <w:sz w:val="20"/>
              </w:rPr>
              <w:t>Pentateuco</w:t>
            </w:r>
          </w:p>
        </w:tc>
        <w:tc>
          <w:tcPr>
            <w:tcW w:type="dxa" w:w="1872"/>
            <w:vAlign w:val="center"/>
            <w:shd w:fill="FFFFFF"/>
            <w:tcMar>
              <w:top w:w="95" w:type="dxa"/>
              <w:left w:w="95" w:type="dxa"/>
              <w:bottom w:w="95" w:type="dxa"/>
              <w:right w:w="95" w:type="dxa"/>
            </w:tcMar>
          </w:tcPr>
          <w:p>
            <w:pPr>
              <w:spacing w:after="20" w:before="20" w:line="252" w:lineRule="auto"/>
            </w:pPr>
            <w:r>
              <w:rPr>
                <w:b w:val="0"/>
                <w:sz w:val="20"/>
              </w:rPr>
              <w:t>Génesis a Deuteronomio</w:t>
            </w:r>
          </w:p>
        </w:tc>
        <w:tc>
          <w:tcPr>
            <w:tcW w:type="dxa" w:w="6336"/>
            <w:vAlign w:val="center"/>
            <w:shd w:fill="FFFFFF"/>
            <w:tcMar>
              <w:top w:w="95" w:type="dxa"/>
              <w:left w:w="95" w:type="dxa"/>
              <w:bottom w:w="95" w:type="dxa"/>
              <w:right w:w="95" w:type="dxa"/>
            </w:tcMar>
          </w:tcPr>
          <w:p>
            <w:pPr>
              <w:spacing w:after="20" w:before="20" w:line="252" w:lineRule="auto"/>
            </w:pPr>
            <w:r>
              <w:rPr>
                <w:b w:val="0"/>
                <w:sz w:val="20"/>
              </w:rPr>
              <w:t>Orígenes, pactos, éxodo y ley; combina relatos e instrucciones</w:t>
            </w:r>
          </w:p>
        </w:tc>
      </w:tr>
      <w:tr>
        <w:trPr>
          <w:cantSplit/>
        </w:trPr>
        <w:tc>
          <w:tcPr>
            <w:tcW w:type="dxa" w:w="1872"/>
            <w:vAlign w:val="center"/>
            <w:shd w:fill="F5F7F9"/>
            <w:tcMar>
              <w:top w:w="95" w:type="dxa"/>
              <w:left w:w="95" w:type="dxa"/>
              <w:bottom w:w="95" w:type="dxa"/>
              <w:right w:w="95" w:type="dxa"/>
            </w:tcMar>
          </w:tcPr>
          <w:p>
            <w:pPr>
              <w:spacing w:after="20" w:before="20" w:line="252" w:lineRule="auto"/>
            </w:pPr>
            <w:r>
              <w:rPr>
                <w:b w:val="0"/>
                <w:sz w:val="20"/>
              </w:rPr>
              <w:t>Históricos</w:t>
            </w:r>
          </w:p>
        </w:tc>
        <w:tc>
          <w:tcPr>
            <w:tcW w:type="dxa" w:w="1872"/>
            <w:vAlign w:val="center"/>
            <w:shd w:fill="F5F7F9"/>
            <w:tcMar>
              <w:top w:w="95" w:type="dxa"/>
              <w:left w:w="95" w:type="dxa"/>
              <w:bottom w:w="95" w:type="dxa"/>
              <w:right w:w="95" w:type="dxa"/>
            </w:tcMar>
          </w:tcPr>
          <w:p>
            <w:pPr>
              <w:spacing w:after="20" w:before="20" w:line="252" w:lineRule="auto"/>
            </w:pPr>
            <w:r>
              <w:rPr>
                <w:b w:val="0"/>
                <w:sz w:val="20"/>
              </w:rPr>
              <w:t>Josué a Ester</w:t>
            </w:r>
          </w:p>
        </w:tc>
        <w:tc>
          <w:tcPr>
            <w:tcW w:type="dxa" w:w="6336"/>
            <w:vAlign w:val="center"/>
            <w:shd w:fill="F5F7F9"/>
            <w:tcMar>
              <w:top w:w="95" w:type="dxa"/>
              <w:left w:w="95" w:type="dxa"/>
              <w:bottom w:w="95" w:type="dxa"/>
              <w:right w:w="95" w:type="dxa"/>
            </w:tcMar>
          </w:tcPr>
          <w:p>
            <w:pPr>
              <w:spacing w:after="20" w:before="20" w:line="252" w:lineRule="auto"/>
            </w:pPr>
            <w:r>
              <w:rPr>
                <w:b w:val="0"/>
                <w:sz w:val="20"/>
              </w:rPr>
              <w:t>Historia de Israel narrada con sentido teológico</w:t>
            </w:r>
          </w:p>
        </w:tc>
      </w:tr>
      <w:tr>
        <w:trPr>
          <w:cantSplit/>
        </w:trPr>
        <w:tc>
          <w:tcPr>
            <w:tcW w:type="dxa" w:w="1872"/>
            <w:vAlign w:val="center"/>
            <w:shd w:fill="FFFFFF"/>
            <w:tcMar>
              <w:top w:w="95" w:type="dxa"/>
              <w:left w:w="95" w:type="dxa"/>
              <w:bottom w:w="95" w:type="dxa"/>
              <w:right w:w="95" w:type="dxa"/>
            </w:tcMar>
          </w:tcPr>
          <w:p>
            <w:pPr>
              <w:spacing w:after="20" w:before="20" w:line="252" w:lineRule="auto"/>
            </w:pPr>
            <w:r>
              <w:rPr>
                <w:b w:val="0"/>
                <w:sz w:val="20"/>
              </w:rPr>
              <w:t>Poesía y sabiduría</w:t>
            </w:r>
          </w:p>
        </w:tc>
        <w:tc>
          <w:tcPr>
            <w:tcW w:type="dxa" w:w="1872"/>
            <w:vAlign w:val="center"/>
            <w:shd w:fill="FFFFFF"/>
            <w:tcMar>
              <w:top w:w="95" w:type="dxa"/>
              <w:left w:w="95" w:type="dxa"/>
              <w:bottom w:w="95" w:type="dxa"/>
              <w:right w:w="95" w:type="dxa"/>
            </w:tcMar>
          </w:tcPr>
          <w:p>
            <w:pPr>
              <w:spacing w:after="20" w:before="20" w:line="252" w:lineRule="auto"/>
            </w:pPr>
            <w:r>
              <w:rPr>
                <w:b w:val="0"/>
                <w:sz w:val="20"/>
              </w:rPr>
              <w:t>Job a Cantares</w:t>
            </w:r>
          </w:p>
        </w:tc>
        <w:tc>
          <w:tcPr>
            <w:tcW w:type="dxa" w:w="6336"/>
            <w:vAlign w:val="center"/>
            <w:shd w:fill="FFFFFF"/>
            <w:tcMar>
              <w:top w:w="95" w:type="dxa"/>
              <w:left w:w="95" w:type="dxa"/>
              <w:bottom w:w="95" w:type="dxa"/>
              <w:right w:w="95" w:type="dxa"/>
            </w:tcMar>
          </w:tcPr>
          <w:p>
            <w:pPr>
              <w:spacing w:after="20" w:before="20" w:line="252" w:lineRule="auto"/>
            </w:pPr>
            <w:r>
              <w:rPr>
                <w:b w:val="0"/>
                <w:sz w:val="20"/>
              </w:rPr>
              <w:t>Lamento, oración, sabiduría y lenguaje poético</w:t>
            </w:r>
          </w:p>
        </w:tc>
      </w:tr>
      <w:tr>
        <w:trPr>
          <w:cantSplit/>
        </w:trPr>
        <w:tc>
          <w:tcPr>
            <w:tcW w:type="dxa" w:w="1872"/>
            <w:vAlign w:val="center"/>
            <w:shd w:fill="F5F7F9"/>
            <w:tcMar>
              <w:top w:w="95" w:type="dxa"/>
              <w:left w:w="95" w:type="dxa"/>
              <w:bottom w:w="95" w:type="dxa"/>
              <w:right w:w="95" w:type="dxa"/>
            </w:tcMar>
          </w:tcPr>
          <w:p>
            <w:pPr>
              <w:spacing w:after="20" w:before="20" w:line="252" w:lineRule="auto"/>
            </w:pPr>
            <w:r>
              <w:rPr>
                <w:b w:val="0"/>
                <w:sz w:val="20"/>
              </w:rPr>
              <w:t>Proféticos</w:t>
            </w:r>
          </w:p>
        </w:tc>
        <w:tc>
          <w:tcPr>
            <w:tcW w:type="dxa" w:w="1872"/>
            <w:vAlign w:val="center"/>
            <w:shd w:fill="F5F7F9"/>
            <w:tcMar>
              <w:top w:w="95" w:type="dxa"/>
              <w:left w:w="95" w:type="dxa"/>
              <w:bottom w:w="95" w:type="dxa"/>
              <w:right w:w="95" w:type="dxa"/>
            </w:tcMar>
          </w:tcPr>
          <w:p>
            <w:pPr>
              <w:spacing w:after="20" w:before="20" w:line="252" w:lineRule="auto"/>
            </w:pPr>
            <w:r>
              <w:rPr>
                <w:b w:val="0"/>
                <w:sz w:val="20"/>
              </w:rPr>
              <w:t>Isaías a Malaquías</w:t>
            </w:r>
          </w:p>
        </w:tc>
        <w:tc>
          <w:tcPr>
            <w:tcW w:type="dxa" w:w="6336"/>
            <w:vAlign w:val="center"/>
            <w:shd w:fill="F5F7F9"/>
            <w:tcMar>
              <w:top w:w="95" w:type="dxa"/>
              <w:left w:w="95" w:type="dxa"/>
              <w:bottom w:w="95" w:type="dxa"/>
              <w:right w:w="95" w:type="dxa"/>
            </w:tcMar>
          </w:tcPr>
          <w:p>
            <w:pPr>
              <w:spacing w:after="20" w:before="20" w:line="252" w:lineRule="auto"/>
            </w:pPr>
            <w:r>
              <w:rPr>
                <w:b w:val="0"/>
                <w:sz w:val="20"/>
              </w:rPr>
              <w:t>Mensajes situados en la historia, juicio y esperanza</w:t>
            </w:r>
          </w:p>
        </w:tc>
      </w:tr>
      <w:tr>
        <w:trPr>
          <w:cantSplit/>
        </w:trPr>
        <w:tc>
          <w:tcPr>
            <w:tcW w:type="dxa" w:w="1872"/>
            <w:vAlign w:val="center"/>
            <w:shd w:fill="FFFFFF"/>
            <w:tcMar>
              <w:top w:w="95" w:type="dxa"/>
              <w:left w:w="95" w:type="dxa"/>
              <w:bottom w:w="95" w:type="dxa"/>
              <w:right w:w="95" w:type="dxa"/>
            </w:tcMar>
          </w:tcPr>
          <w:p>
            <w:pPr>
              <w:spacing w:after="20" w:before="20" w:line="252" w:lineRule="auto"/>
            </w:pPr>
            <w:r>
              <w:rPr>
                <w:b w:val="0"/>
                <w:sz w:val="20"/>
              </w:rPr>
              <w:t>Evangelios</w:t>
            </w:r>
          </w:p>
        </w:tc>
        <w:tc>
          <w:tcPr>
            <w:tcW w:type="dxa" w:w="1872"/>
            <w:vAlign w:val="center"/>
            <w:shd w:fill="FFFFFF"/>
            <w:tcMar>
              <w:top w:w="95" w:type="dxa"/>
              <w:left w:w="95" w:type="dxa"/>
              <w:bottom w:w="95" w:type="dxa"/>
              <w:right w:w="95" w:type="dxa"/>
            </w:tcMar>
          </w:tcPr>
          <w:p>
            <w:pPr>
              <w:spacing w:after="20" w:before="20" w:line="252" w:lineRule="auto"/>
            </w:pPr>
            <w:r>
              <w:rPr>
                <w:b w:val="0"/>
                <w:sz w:val="20"/>
              </w:rPr>
              <w:t>Mateo a Juan</w:t>
            </w:r>
          </w:p>
        </w:tc>
        <w:tc>
          <w:tcPr>
            <w:tcW w:type="dxa" w:w="6336"/>
            <w:vAlign w:val="center"/>
            <w:shd w:fill="FFFFFF"/>
            <w:tcMar>
              <w:top w:w="95" w:type="dxa"/>
              <w:left w:w="95" w:type="dxa"/>
              <w:bottom w:w="95" w:type="dxa"/>
              <w:right w:w="95" w:type="dxa"/>
            </w:tcMar>
          </w:tcPr>
          <w:p>
            <w:pPr>
              <w:spacing w:after="20" w:before="20" w:line="252" w:lineRule="auto"/>
            </w:pPr>
            <w:r>
              <w:rPr>
                <w:b w:val="0"/>
                <w:sz w:val="20"/>
              </w:rPr>
              <w:t>Testimonio de la vida, enseñanza, muerte y resurrección de Jesús</w:t>
            </w:r>
          </w:p>
        </w:tc>
      </w:tr>
      <w:tr>
        <w:trPr>
          <w:cantSplit/>
        </w:trPr>
        <w:tc>
          <w:tcPr>
            <w:tcW w:type="dxa" w:w="1872"/>
            <w:vAlign w:val="center"/>
            <w:shd w:fill="F5F7F9"/>
            <w:tcMar>
              <w:top w:w="95" w:type="dxa"/>
              <w:left w:w="95" w:type="dxa"/>
              <w:bottom w:w="95" w:type="dxa"/>
              <w:right w:w="95" w:type="dxa"/>
            </w:tcMar>
          </w:tcPr>
          <w:p>
            <w:pPr>
              <w:spacing w:after="20" w:before="20" w:line="252" w:lineRule="auto"/>
            </w:pPr>
            <w:r>
              <w:rPr>
                <w:b w:val="0"/>
                <w:sz w:val="20"/>
              </w:rPr>
              <w:t>Hechos</w:t>
            </w:r>
          </w:p>
        </w:tc>
        <w:tc>
          <w:tcPr>
            <w:tcW w:type="dxa" w:w="1872"/>
            <w:vAlign w:val="center"/>
            <w:shd w:fill="F5F7F9"/>
            <w:tcMar>
              <w:top w:w="95" w:type="dxa"/>
              <w:left w:w="95" w:type="dxa"/>
              <w:bottom w:w="95" w:type="dxa"/>
              <w:right w:w="95" w:type="dxa"/>
            </w:tcMar>
          </w:tcPr>
          <w:p>
            <w:pPr>
              <w:spacing w:after="20" w:before="20" w:line="252" w:lineRule="auto"/>
            </w:pPr>
            <w:r>
              <w:rPr>
                <w:b w:val="0"/>
                <w:sz w:val="20"/>
              </w:rPr>
              <w:t>Hechos</w:t>
            </w:r>
          </w:p>
        </w:tc>
        <w:tc>
          <w:tcPr>
            <w:tcW w:type="dxa" w:w="6336"/>
            <w:vAlign w:val="center"/>
            <w:shd w:fill="F5F7F9"/>
            <w:tcMar>
              <w:top w:w="95" w:type="dxa"/>
              <w:left w:w="95" w:type="dxa"/>
              <w:bottom w:w="95" w:type="dxa"/>
              <w:right w:w="95" w:type="dxa"/>
            </w:tcMar>
          </w:tcPr>
          <w:p>
            <w:pPr>
              <w:spacing w:after="20" w:before="20" w:line="252" w:lineRule="auto"/>
            </w:pPr>
            <w:r>
              <w:rPr>
                <w:b w:val="0"/>
                <w:sz w:val="20"/>
              </w:rPr>
              <w:t>Expansión del testimonio apostólico por el Espíritu</w:t>
            </w:r>
          </w:p>
        </w:tc>
      </w:tr>
      <w:tr>
        <w:trPr>
          <w:cantSplit/>
        </w:trPr>
        <w:tc>
          <w:tcPr>
            <w:tcW w:type="dxa" w:w="1872"/>
            <w:vAlign w:val="center"/>
            <w:shd w:fill="FFFFFF"/>
            <w:tcMar>
              <w:top w:w="95" w:type="dxa"/>
              <w:left w:w="95" w:type="dxa"/>
              <w:bottom w:w="95" w:type="dxa"/>
              <w:right w:w="95" w:type="dxa"/>
            </w:tcMar>
          </w:tcPr>
          <w:p>
            <w:pPr>
              <w:spacing w:after="20" w:before="20" w:line="252" w:lineRule="auto"/>
            </w:pPr>
            <w:r>
              <w:rPr>
                <w:b w:val="0"/>
                <w:sz w:val="20"/>
              </w:rPr>
              <w:t>Cartas</w:t>
            </w:r>
          </w:p>
        </w:tc>
        <w:tc>
          <w:tcPr>
            <w:tcW w:type="dxa" w:w="1872"/>
            <w:vAlign w:val="center"/>
            <w:shd w:fill="FFFFFF"/>
            <w:tcMar>
              <w:top w:w="95" w:type="dxa"/>
              <w:left w:w="95" w:type="dxa"/>
              <w:bottom w:w="95" w:type="dxa"/>
              <w:right w:w="95" w:type="dxa"/>
            </w:tcMar>
          </w:tcPr>
          <w:p>
            <w:pPr>
              <w:spacing w:after="20" w:before="20" w:line="252" w:lineRule="auto"/>
            </w:pPr>
            <w:r>
              <w:rPr>
                <w:b w:val="0"/>
                <w:sz w:val="20"/>
              </w:rPr>
              <w:t>Romanos a Judas</w:t>
            </w:r>
          </w:p>
        </w:tc>
        <w:tc>
          <w:tcPr>
            <w:tcW w:type="dxa" w:w="6336"/>
            <w:vAlign w:val="center"/>
            <w:shd w:fill="FFFFFF"/>
            <w:tcMar>
              <w:top w:w="95" w:type="dxa"/>
              <w:left w:w="95" w:type="dxa"/>
              <w:bottom w:w="95" w:type="dxa"/>
              <w:right w:w="95" w:type="dxa"/>
            </w:tcMar>
          </w:tcPr>
          <w:p>
            <w:pPr>
              <w:spacing w:after="20" w:before="20" w:line="252" w:lineRule="auto"/>
            </w:pPr>
            <w:r>
              <w:rPr>
                <w:b w:val="0"/>
                <w:sz w:val="20"/>
              </w:rPr>
              <w:t>Enseñanza y exhortación para comunidades y personas</w:t>
            </w:r>
          </w:p>
        </w:tc>
      </w:tr>
      <w:tr>
        <w:trPr>
          <w:cantSplit/>
        </w:trPr>
        <w:tc>
          <w:tcPr>
            <w:tcW w:type="dxa" w:w="1872"/>
            <w:vAlign w:val="center"/>
            <w:shd w:fill="F5F7F9"/>
            <w:tcMar>
              <w:top w:w="95" w:type="dxa"/>
              <w:left w:w="95" w:type="dxa"/>
              <w:bottom w:w="95" w:type="dxa"/>
              <w:right w:w="95" w:type="dxa"/>
            </w:tcMar>
          </w:tcPr>
          <w:p>
            <w:pPr>
              <w:spacing w:after="20" w:before="20" w:line="252" w:lineRule="auto"/>
            </w:pPr>
            <w:r>
              <w:rPr>
                <w:b w:val="0"/>
                <w:sz w:val="20"/>
              </w:rPr>
              <w:t>Apocalipsis</w:t>
            </w:r>
          </w:p>
        </w:tc>
        <w:tc>
          <w:tcPr>
            <w:tcW w:type="dxa" w:w="1872"/>
            <w:vAlign w:val="center"/>
            <w:shd w:fill="F5F7F9"/>
            <w:tcMar>
              <w:top w:w="95" w:type="dxa"/>
              <w:left w:w="95" w:type="dxa"/>
              <w:bottom w:w="95" w:type="dxa"/>
              <w:right w:w="95" w:type="dxa"/>
            </w:tcMar>
          </w:tcPr>
          <w:p>
            <w:pPr>
              <w:spacing w:after="20" w:before="20" w:line="252" w:lineRule="auto"/>
            </w:pPr>
            <w:r>
              <w:rPr>
                <w:b w:val="0"/>
                <w:sz w:val="20"/>
              </w:rPr>
              <w:t>Apocalipsis</w:t>
            </w:r>
          </w:p>
        </w:tc>
        <w:tc>
          <w:tcPr>
            <w:tcW w:type="dxa" w:w="6336"/>
            <w:vAlign w:val="center"/>
            <w:shd w:fill="F5F7F9"/>
            <w:tcMar>
              <w:top w:w="95" w:type="dxa"/>
              <w:left w:w="95" w:type="dxa"/>
              <w:bottom w:w="95" w:type="dxa"/>
              <w:right w:w="95" w:type="dxa"/>
            </w:tcMar>
          </w:tcPr>
          <w:p>
            <w:pPr>
              <w:spacing w:after="20" w:before="20" w:line="252" w:lineRule="auto"/>
            </w:pPr>
            <w:r>
              <w:rPr>
                <w:b w:val="0"/>
                <w:sz w:val="20"/>
              </w:rPr>
              <w:t>Carta profética con visiones y símbolos apocalípticos</w:t>
            </w:r>
          </w:p>
        </w:tc>
      </w:tr>
    </w:tbl>
    <w:p>
      <w:pPr>
        <w:spacing w:after="40"/>
      </w:pPr>
    </w:p>
    <w:p>
      <w:pPr>
        <w:pStyle w:val="Heading2"/>
      </w:pPr>
      <w:r>
        <w:t>Seis momentos de la historia bíblica</w:t>
      </w:r>
    </w:p>
    <w:p>
      <w:pPr>
        <w:widowControl/>
      </w:pPr>
      <w:r>
        <w:rPr>
          <w:b/>
        </w:rPr>
        <w:t>Creación:</w:t>
      </w:r>
      <w:r>
        <w:t xml:space="preserve"> Dios da vida, dignidad y responsabilidad. </w:t>
      </w:r>
      <w:r>
        <w:rPr>
          <w:b/>
        </w:rPr>
        <w:t>Caída:</w:t>
      </w:r>
      <w:r>
        <w:t xml:space="preserve"> el pecado rompe nuestra relación con Dios y con su creación. </w:t>
      </w:r>
      <w:r>
        <w:rPr>
          <w:b/>
        </w:rPr>
        <w:t>Promesa e Israel:</w:t>
      </w:r>
      <w:r>
        <w:t xml:space="preserve"> Dios llama, libera y forma un pueblo; la historia incluye pactos, reino, exilio y esperanza. </w:t>
      </w:r>
      <w:r>
        <w:rPr>
          <w:b/>
        </w:rPr>
        <w:t>Jesucristo:</w:t>
      </w:r>
      <w:r>
        <w:t xml:space="preserve"> el Hijo hecho hombre muere por nuestros pecados y resucita. </w:t>
      </w:r>
      <w:r>
        <w:rPr>
          <w:b/>
        </w:rPr>
        <w:t>Iglesia:</w:t>
      </w:r>
      <w:r>
        <w:t xml:space="preserve"> el Espíritu capacita a los discípulos para la misión. </w:t>
      </w:r>
      <w:r>
        <w:rPr>
          <w:b/>
        </w:rPr>
        <w:t>Nueva creación:</w:t>
      </w:r>
      <w:r>
        <w:t xml:space="preserve"> Cristo volverá y consumará la renovación final.</w:t>
      </w:r>
    </w:p>
    <w:p>
      <w:pPr>
        <w:widowControl/>
      </w:pPr>
      <w:r>
        <w:t>Este mapa conduce a la obra del Dios trino. Confesamos un solo Dios, eternamente Padre, Hijo y Espíritu Santo: tres personas distintas, plenamente divinas. La centralidad de Cristo nos lleva a conocer al Padre y a vivir por el Espíritu.</w:t>
      </w:r>
    </w:p>
    <w:p>
      <w:pPr>
        <w:pStyle w:val="Heading2"/>
      </w:pPr>
      <w:r>
        <w:t>Cómo encontrar una referencia</w:t>
      </w:r>
    </w:p>
    <w:p>
      <w:pPr>
        <w:widowControl/>
      </w:pPr>
      <w:r>
        <w:t>Marcos 4:35–41 significa libro de Marcos, capítulo 4, versículos 35 al 41. Lee una escena o párrafo completo. La numeración facilita localizar el pasaje, pero el argumento puede continuar después del versículo o del capítulo.</w:t>
      </w:r>
    </w:p>
    <w:p>
      <w:r>
        <w:br w:type="page"/>
      </w:r>
    </w:p>
    <w:p>
      <w:pPr>
        <w:pStyle w:val="Heading1"/>
      </w:pPr>
      <w:r>
        <w:t>Clase 1 Abrir la Biblia con un mapa</w:t>
      </w:r>
    </w:p>
    <w:p>
      <w:pPr>
        <w:widowControl/>
      </w:pPr>
      <w:r>
        <w:rPr>
          <w:b/>
        </w:rPr>
        <w:t>Meta:</w:t>
      </w:r>
      <w:r>
        <w:t xml:space="preserve"> ubicar cinco libros y reconocer su género predominante. Lee Lucas 24:44–49 y 2 Timoteo 3:14–17.</w:t>
      </w:r>
    </w:p>
    <w:p>
      <w:pPr>
        <w:widowControl/>
      </w:pPr>
      <w:r>
        <w:t>La Biblia reúne formas de escritura diversas dentro de la obra reveladora de Dios. Reconocer el género evita pedirle a una poesía lo mismo que a una carta. El conjunto de las Escrituras nos orienta hacia Jesucristo sin borrar la historia particular de cada escrito.</w:t>
      </w:r>
    </w:p>
    <w:p>
      <w:pPr>
        <w:pStyle w:val="Heading2"/>
      </w:pPr>
      <w:r>
        <w:t>Actividad</w:t>
      </w:r>
    </w:p>
    <w:p>
      <w:pPr>
        <w:widowControl/>
      </w:pPr>
      <w:r>
        <w:t>Usa el índice y busca los siguientes libros. Anota su testamento y género predominante. En un libro pueden convivir varias formas literarias.</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584"/>
        <w:gridCol w:w="3384"/>
        <w:gridCol w:w="5112"/>
      </w:tblGrid>
      <w:tr>
        <w:trPr>
          <w:cantSplit/>
          <w:tblHeader/>
        </w:trPr>
        <w:tc>
          <w:tcPr>
            <w:tcW w:type="dxa" w:w="1584"/>
            <w:vAlign w:val="center"/>
            <w:shd w:fill="E8EDF2"/>
            <w:tcMar>
              <w:top w:w="95" w:type="dxa"/>
              <w:left w:w="95" w:type="dxa"/>
              <w:bottom w:w="95" w:type="dxa"/>
              <w:right w:w="95" w:type="dxa"/>
            </w:tcMar>
          </w:tcPr>
          <w:p>
            <w:pPr>
              <w:spacing w:after="20" w:before="20" w:line="252" w:lineRule="auto"/>
            </w:pPr>
            <w:r>
              <w:rPr>
                <w:b/>
                <w:sz w:val="20"/>
              </w:rPr>
              <w:t>Libro</w:t>
            </w:r>
          </w:p>
        </w:tc>
        <w:tc>
          <w:tcPr>
            <w:tcW w:type="dxa" w:w="3384"/>
            <w:vAlign w:val="center"/>
            <w:shd w:fill="E8EDF2"/>
            <w:tcMar>
              <w:top w:w="95" w:type="dxa"/>
              <w:left w:w="95" w:type="dxa"/>
              <w:bottom w:w="95" w:type="dxa"/>
              <w:right w:w="95" w:type="dxa"/>
            </w:tcMar>
          </w:tcPr>
          <w:p>
            <w:pPr>
              <w:spacing w:after="20" w:before="20" w:line="252" w:lineRule="auto"/>
            </w:pPr>
            <w:r>
              <w:rPr>
                <w:b/>
                <w:sz w:val="20"/>
              </w:rPr>
              <w:t>Testamento</w:t>
            </w:r>
          </w:p>
        </w:tc>
        <w:tc>
          <w:tcPr>
            <w:tcW w:type="dxa" w:w="5112"/>
            <w:vAlign w:val="center"/>
            <w:shd w:fill="E8EDF2"/>
            <w:tcMar>
              <w:top w:w="95" w:type="dxa"/>
              <w:left w:w="95" w:type="dxa"/>
              <w:bottom w:w="95" w:type="dxa"/>
              <w:right w:w="95" w:type="dxa"/>
            </w:tcMar>
          </w:tcPr>
          <w:p>
            <w:pPr>
              <w:spacing w:after="20" w:before="20" w:line="252" w:lineRule="auto"/>
            </w:pPr>
            <w:r>
              <w:rPr>
                <w:b/>
                <w:sz w:val="20"/>
              </w:rPr>
              <w:t>Género predominante</w:t>
            </w:r>
          </w:p>
        </w:tc>
      </w:tr>
      <w:tr>
        <w:trPr>
          <w:trHeight w:val="504" w:hRule="atLeast"/>
          <w:cantSplit/>
        </w:trPr>
        <w:tc>
          <w:tcPr>
            <w:tcW w:type="dxa" w:w="1584"/>
            <w:vAlign w:val="center"/>
            <w:shd w:fill="FFFFFF"/>
            <w:tcMar>
              <w:top w:w="95" w:type="dxa"/>
              <w:left w:w="95" w:type="dxa"/>
              <w:bottom w:w="95" w:type="dxa"/>
              <w:right w:w="95" w:type="dxa"/>
            </w:tcMar>
          </w:tcPr>
          <w:p>
            <w:pPr>
              <w:spacing w:after="20" w:before="20" w:line="252" w:lineRule="auto"/>
            </w:pPr>
            <w:r>
              <w:rPr>
                <w:b w:val="0"/>
                <w:sz w:val="20"/>
              </w:rPr>
              <w:t>Génesis</w:t>
            </w:r>
          </w:p>
        </w:tc>
        <w:tc>
          <w:tcPr>
            <w:tcW w:type="dxa" w:w="3384"/>
            <w:vAlign w:val="center"/>
            <w:shd w:fill="FFFFFF"/>
            <w:tcMar>
              <w:top w:w="95" w:type="dxa"/>
              <w:left w:w="95" w:type="dxa"/>
              <w:bottom w:w="95" w:type="dxa"/>
              <w:right w:w="95" w:type="dxa"/>
            </w:tcMar>
          </w:tcPr>
          <w:p>
            <w:pPr>
              <w:spacing w:after="20" w:before="20" w:line="252" w:lineRule="auto"/>
            </w:pPr>
          </w:p>
        </w:tc>
        <w:tc>
          <w:tcPr>
            <w:tcW w:type="dxa" w:w="5112"/>
            <w:vAlign w:val="center"/>
            <w:shd w:fill="FFFFFF"/>
            <w:tcMar>
              <w:top w:w="95" w:type="dxa"/>
              <w:left w:w="95" w:type="dxa"/>
              <w:bottom w:w="95" w:type="dxa"/>
              <w:right w:w="95" w:type="dxa"/>
            </w:tcMar>
          </w:tcPr>
          <w:p>
            <w:pPr>
              <w:spacing w:after="20" w:before="20" w:line="252" w:lineRule="auto"/>
            </w:pPr>
          </w:p>
        </w:tc>
      </w:tr>
      <w:tr>
        <w:trPr>
          <w:trHeight w:val="504" w:hRule="atLeast"/>
          <w:cantSplit/>
        </w:trPr>
        <w:tc>
          <w:tcPr>
            <w:tcW w:type="dxa" w:w="1584"/>
            <w:vAlign w:val="center"/>
            <w:shd w:fill="F5F7F9"/>
            <w:tcMar>
              <w:top w:w="95" w:type="dxa"/>
              <w:left w:w="95" w:type="dxa"/>
              <w:bottom w:w="95" w:type="dxa"/>
              <w:right w:w="95" w:type="dxa"/>
            </w:tcMar>
          </w:tcPr>
          <w:p>
            <w:pPr>
              <w:spacing w:after="20" w:before="20" w:line="252" w:lineRule="auto"/>
            </w:pPr>
            <w:r>
              <w:rPr>
                <w:b w:val="0"/>
                <w:sz w:val="20"/>
              </w:rPr>
              <w:t>Salmos</w:t>
            </w:r>
          </w:p>
        </w:tc>
        <w:tc>
          <w:tcPr>
            <w:tcW w:type="dxa" w:w="3384"/>
            <w:vAlign w:val="center"/>
            <w:shd w:fill="F5F7F9"/>
            <w:tcMar>
              <w:top w:w="95" w:type="dxa"/>
              <w:left w:w="95" w:type="dxa"/>
              <w:bottom w:w="95" w:type="dxa"/>
              <w:right w:w="95" w:type="dxa"/>
            </w:tcMar>
          </w:tcPr>
          <w:p>
            <w:pPr>
              <w:spacing w:after="20" w:before="20" w:line="252" w:lineRule="auto"/>
            </w:pPr>
          </w:p>
        </w:tc>
        <w:tc>
          <w:tcPr>
            <w:tcW w:type="dxa" w:w="5112"/>
            <w:vAlign w:val="center"/>
            <w:shd w:fill="F5F7F9"/>
            <w:tcMar>
              <w:top w:w="95" w:type="dxa"/>
              <w:left w:w="95" w:type="dxa"/>
              <w:bottom w:w="95" w:type="dxa"/>
              <w:right w:w="95" w:type="dxa"/>
            </w:tcMar>
          </w:tcPr>
          <w:p>
            <w:pPr>
              <w:spacing w:after="20" w:before="20" w:line="252" w:lineRule="auto"/>
            </w:pPr>
          </w:p>
        </w:tc>
      </w:tr>
      <w:tr>
        <w:trPr>
          <w:trHeight w:val="504" w:hRule="atLeast"/>
          <w:cantSplit/>
        </w:trPr>
        <w:tc>
          <w:tcPr>
            <w:tcW w:type="dxa" w:w="1584"/>
            <w:vAlign w:val="center"/>
            <w:shd w:fill="FFFFFF"/>
            <w:tcMar>
              <w:top w:w="95" w:type="dxa"/>
              <w:left w:w="95" w:type="dxa"/>
              <w:bottom w:w="95" w:type="dxa"/>
              <w:right w:w="95" w:type="dxa"/>
            </w:tcMar>
          </w:tcPr>
          <w:p>
            <w:pPr>
              <w:spacing w:after="20" w:before="20" w:line="252" w:lineRule="auto"/>
            </w:pPr>
            <w:r>
              <w:rPr>
                <w:b w:val="0"/>
                <w:sz w:val="20"/>
              </w:rPr>
              <w:t>Marcos</w:t>
            </w:r>
          </w:p>
        </w:tc>
        <w:tc>
          <w:tcPr>
            <w:tcW w:type="dxa" w:w="3384"/>
            <w:vAlign w:val="center"/>
            <w:shd w:fill="FFFFFF"/>
            <w:tcMar>
              <w:top w:w="95" w:type="dxa"/>
              <w:left w:w="95" w:type="dxa"/>
              <w:bottom w:w="95" w:type="dxa"/>
              <w:right w:w="95" w:type="dxa"/>
            </w:tcMar>
          </w:tcPr>
          <w:p>
            <w:pPr>
              <w:spacing w:after="20" w:before="20" w:line="252" w:lineRule="auto"/>
            </w:pPr>
          </w:p>
        </w:tc>
        <w:tc>
          <w:tcPr>
            <w:tcW w:type="dxa" w:w="5112"/>
            <w:vAlign w:val="center"/>
            <w:shd w:fill="FFFFFF"/>
            <w:tcMar>
              <w:top w:w="95" w:type="dxa"/>
              <w:left w:w="95" w:type="dxa"/>
              <w:bottom w:w="95" w:type="dxa"/>
              <w:right w:w="95" w:type="dxa"/>
            </w:tcMar>
          </w:tcPr>
          <w:p>
            <w:pPr>
              <w:spacing w:after="20" w:before="20" w:line="252" w:lineRule="auto"/>
            </w:pPr>
          </w:p>
        </w:tc>
      </w:tr>
      <w:tr>
        <w:trPr>
          <w:trHeight w:val="504" w:hRule="atLeast"/>
          <w:cantSplit/>
        </w:trPr>
        <w:tc>
          <w:tcPr>
            <w:tcW w:type="dxa" w:w="1584"/>
            <w:vAlign w:val="center"/>
            <w:shd w:fill="F5F7F9"/>
            <w:tcMar>
              <w:top w:w="95" w:type="dxa"/>
              <w:left w:w="95" w:type="dxa"/>
              <w:bottom w:w="95" w:type="dxa"/>
              <w:right w:w="95" w:type="dxa"/>
            </w:tcMar>
          </w:tcPr>
          <w:p>
            <w:pPr>
              <w:spacing w:after="20" w:before="20" w:line="252" w:lineRule="auto"/>
            </w:pPr>
            <w:r>
              <w:rPr>
                <w:b w:val="0"/>
                <w:sz w:val="20"/>
              </w:rPr>
              <w:t>Romanos</w:t>
            </w:r>
          </w:p>
        </w:tc>
        <w:tc>
          <w:tcPr>
            <w:tcW w:type="dxa" w:w="3384"/>
            <w:vAlign w:val="center"/>
            <w:shd w:fill="F5F7F9"/>
            <w:tcMar>
              <w:top w:w="95" w:type="dxa"/>
              <w:left w:w="95" w:type="dxa"/>
              <w:bottom w:w="95" w:type="dxa"/>
              <w:right w:w="95" w:type="dxa"/>
            </w:tcMar>
          </w:tcPr>
          <w:p>
            <w:pPr>
              <w:spacing w:after="20" w:before="20" w:line="252" w:lineRule="auto"/>
            </w:pPr>
          </w:p>
        </w:tc>
        <w:tc>
          <w:tcPr>
            <w:tcW w:type="dxa" w:w="5112"/>
            <w:vAlign w:val="center"/>
            <w:shd w:fill="F5F7F9"/>
            <w:tcMar>
              <w:top w:w="95" w:type="dxa"/>
              <w:left w:w="95" w:type="dxa"/>
              <w:bottom w:w="95" w:type="dxa"/>
              <w:right w:w="95" w:type="dxa"/>
            </w:tcMar>
          </w:tcPr>
          <w:p>
            <w:pPr>
              <w:spacing w:after="20" w:before="20" w:line="252" w:lineRule="auto"/>
            </w:pPr>
          </w:p>
        </w:tc>
      </w:tr>
      <w:tr>
        <w:trPr>
          <w:trHeight w:val="504" w:hRule="atLeast"/>
          <w:cantSplit/>
        </w:trPr>
        <w:tc>
          <w:tcPr>
            <w:tcW w:type="dxa" w:w="1584"/>
            <w:vAlign w:val="center"/>
            <w:shd w:fill="FFFFFF"/>
            <w:tcMar>
              <w:top w:w="95" w:type="dxa"/>
              <w:left w:w="95" w:type="dxa"/>
              <w:bottom w:w="95" w:type="dxa"/>
              <w:right w:w="95" w:type="dxa"/>
            </w:tcMar>
          </w:tcPr>
          <w:p>
            <w:pPr>
              <w:spacing w:after="20" w:before="20" w:line="252" w:lineRule="auto"/>
            </w:pPr>
            <w:r>
              <w:rPr>
                <w:b w:val="0"/>
                <w:sz w:val="20"/>
              </w:rPr>
              <w:t>Apocalipsis</w:t>
            </w:r>
          </w:p>
        </w:tc>
        <w:tc>
          <w:tcPr>
            <w:tcW w:type="dxa" w:w="3384"/>
            <w:vAlign w:val="center"/>
            <w:shd w:fill="FFFFFF"/>
            <w:tcMar>
              <w:top w:w="95" w:type="dxa"/>
              <w:left w:w="95" w:type="dxa"/>
              <w:bottom w:w="95" w:type="dxa"/>
              <w:right w:w="95" w:type="dxa"/>
            </w:tcMar>
          </w:tcPr>
          <w:p>
            <w:pPr>
              <w:spacing w:after="20" w:before="20" w:line="252" w:lineRule="auto"/>
            </w:pPr>
          </w:p>
        </w:tc>
        <w:tc>
          <w:tcPr>
            <w:tcW w:type="dxa" w:w="5112"/>
            <w:vAlign w:val="center"/>
            <w:shd w:fill="FFFFFF"/>
            <w:tcMar>
              <w:top w:w="95" w:type="dxa"/>
              <w:left w:w="95" w:type="dxa"/>
              <w:bottom w:w="95" w:type="dxa"/>
              <w:right w:w="95" w:type="dxa"/>
            </w:tcMar>
          </w:tcPr>
          <w:p>
            <w:pPr>
              <w:spacing w:after="20" w:before="20" w:line="252" w:lineRule="auto"/>
            </w:pPr>
          </w:p>
        </w:tc>
      </w:tr>
    </w:tbl>
    <w:p>
      <w:pPr>
        <w:spacing w:after="40"/>
      </w:pPr>
    </w:p>
    <w:p>
      <w:pPr>
        <w:widowControl/>
      </w:pPr>
      <w:r>
        <w:rPr>
          <w:b/>
        </w:rPr>
        <w:t>Comprensión:</w:t>
      </w:r>
      <w:r>
        <w:t xml:space="preserve"> según Lucas 24:44–49, ¿qué relación establece Jesús entre las Escrituras, su obra y la misión de los discípulos? Responde en tres o cuatro líneas.</w:t>
      </w:r>
    </w:p>
    <w:p>
      <w:pPr>
        <w:keepNext w:val="0"/>
        <w:spacing w:after="0" w:line="240" w:lineRule="exact"/>
      </w:pPr>
      <w:r>
        <w:br/>
        <w:br/>
      </w:r>
    </w:p>
    <w:p>
      <w:pPr>
        <w:widowControl/>
      </w:pPr>
      <w:r>
        <w:rPr>
          <w:b/>
        </w:rPr>
        <w:t>Para explicar a otra persona:</w:t>
      </w:r>
      <w:r>
        <w:t xml:space="preserve"> ¿por qué no conviene leer un salmo exactamente igual que una carta?</w:t>
      </w:r>
    </w:p>
    <w:p>
      <w:pPr>
        <w:keepNext w:val="0"/>
        <w:spacing w:after="0" w:line="240" w:lineRule="exact"/>
      </w:pPr>
      <w:r>
        <w:br/>
      </w:r>
    </w:p>
    <w:p>
      <w:pPr>
        <w:widowControl/>
      </w:pPr>
      <w:r>
        <w:rPr>
          <w:b/>
        </w:rPr>
        <w:t>Comprueba tu avance:</w:t>
      </w:r>
      <w:r>
        <w:t xml:space="preserve"> puedo localizar una referencia y describir una diferencia entre géneros. Si no, vuelve al mapa y consulta las respuestas orientativas al final.</w:t>
      </w:r>
    </w:p>
    <w:p>
      <w:r>
        <w:br w:type="page"/>
      </w:r>
    </w:p>
    <w:p>
      <w:pPr>
        <w:pStyle w:val="Heading1"/>
      </w:pPr>
      <w:r>
        <w:t>Clase 2 Antes de preguntar qué significa para mí</w:t>
      </w:r>
    </w:p>
    <w:p>
      <w:pPr>
        <w:widowControl/>
      </w:pPr>
      <w:r>
        <w:rPr>
          <w:b/>
        </w:rPr>
        <w:t>Meta:</w:t>
      </w:r>
      <w:r>
        <w:t xml:space="preserve"> explicar Filipenses 4:13 dentro de su párrafo. Lee Filipenses 4:10–20 y busca en 1:12–14 una pista sobre la situación de Pablo.</w:t>
      </w:r>
    </w:p>
    <w:p>
      <w:pPr>
        <w:widowControl/>
      </w:pPr>
      <w:r>
        <w:t>El contexto inmediato incluye las frases anteriores y posteriores. El contexto del libro ayuda a seguir su argumento. El contexto histórico y canónico permite situarlo en una conversación más amplia. Comienza por lo que el propio escrito muestra.</w:t>
      </w:r>
    </w:p>
    <w:p>
      <w:pPr>
        <w:pStyle w:val="Heading2"/>
      </w:pPr>
      <w:r>
        <w:t>Actividad</w:t>
      </w:r>
    </w:p>
    <w:p>
      <w:pPr>
        <w:widowControl/>
      </w:pPr>
      <w:r>
        <w:rPr>
          <w:b/>
        </w:rPr>
        <w:t>1. Tema:</w:t>
      </w:r>
      <w:r>
        <w:t xml:space="preserve"> ¿de qué habla Filipenses 4:10–20? Escribe una frase y señala dos versículos que la sostienen.</w:t>
      </w:r>
    </w:p>
    <w:p>
      <w:pPr>
        <w:keepNext w:val="0"/>
        <w:spacing w:after="0" w:line="240" w:lineRule="exact"/>
      </w:pPr>
      <w:r>
        <w:br/>
        <w:br/>
      </w:r>
    </w:p>
    <w:p>
      <w:pPr>
        <w:widowControl/>
      </w:pPr>
      <w:r>
        <w:rPr>
          <w:b/>
        </w:rPr>
        <w:t>2. Contrastes:</w:t>
      </w:r>
      <w:r>
        <w:t xml:space="preserve"> ¿qué situaciones diferentes menciona Pablo en los versículos 11 y 12? ¿Cómo ayudan a comprender el alcance del versículo 13?</w:t>
      </w:r>
    </w:p>
    <w:p>
      <w:pPr>
        <w:keepNext w:val="0"/>
        <w:spacing w:after="0" w:line="240" w:lineRule="exact"/>
      </w:pPr>
      <w:r>
        <w:br/>
        <w:br/>
      </w:r>
    </w:p>
    <w:p>
      <w:pPr>
        <w:widowControl/>
      </w:pPr>
      <w:r>
        <w:rPr>
          <w:b/>
        </w:rPr>
        <w:t>3. Revisión:</w:t>
      </w:r>
      <w:r>
        <w:t xml:space="preserve"> alguien afirma que este versículo garantiza obtener cualquier meta personal si se tiene fe. Responde en 70–100 palabras usando el contexto. Puedes escribir en tu cuaderno si necesitas más espacio.</w:t>
      </w:r>
    </w:p>
    <w:p>
      <w:pPr>
        <w:keepNext w:val="0"/>
        <w:spacing w:after="0" w:line="240" w:lineRule="exact"/>
      </w:pPr>
      <w:r>
        <w:br/>
        <w:br/>
      </w:r>
    </w:p>
    <w:p>
      <w:pPr>
        <w:widowControl/>
      </w:pPr>
      <w:r>
        <w:rPr>
          <w:b/>
        </w:rPr>
        <w:t>4. Aplicación:</w:t>
      </w:r>
      <w:r>
        <w:t xml:space="preserve"> escribe una manera de confiar en Cristo durante una dificultad sin prometer un resultado automático ni negar la necesidad de ayuda.</w:t>
      </w:r>
    </w:p>
    <w:p>
      <w:pPr>
        <w:keepNext w:val="0"/>
        <w:spacing w:after="0" w:line="240" w:lineRule="exact"/>
      </w:pPr>
      <w:r>
        <w:br/>
      </w:r>
    </w:p>
    <w:p>
      <w:pPr>
        <w:widowControl/>
      </w:pPr>
      <w:r>
        <w:rPr>
          <w:b/>
        </w:rPr>
        <w:t>Comprueba tu avance:</w:t>
      </w:r>
      <w:r>
        <w:t xml:space="preserve"> mi explicación del versículo 13 tiene en cuenta los versículos que lo rodean.</w:t>
      </w:r>
    </w:p>
    <w:p>
      <w:r>
        <w:br w:type="page"/>
      </w:r>
    </w:p>
    <w:p>
      <w:pPr>
        <w:pStyle w:val="Heading1"/>
      </w:pPr>
      <w:r>
        <w:t>Clase 3 Aprender a mirar</w:t>
      </w:r>
    </w:p>
    <w:p>
      <w:pPr>
        <w:widowControl/>
      </w:pPr>
      <w:r>
        <w:rPr>
          <w:b/>
        </w:rPr>
        <w:t>Meta:</w:t>
      </w:r>
      <w:r>
        <w:t xml:space="preserve"> registrar cinco observaciones comprobables. Lee Marcos 4:35–41 dos veces: una para seguir la escena y otra para observar personajes, acciones, contrastes y preguntas.</w:t>
      </w:r>
    </w:p>
    <w:p>
      <w:pPr>
        <w:widowControl/>
      </w:pPr>
      <w:r>
        <w:t>Una observación describe lo que aparece. Una inferencia propone una conclusión. Una aplicación expresa una respuesta actual. Distinguirlas permite comprobar el recorrido de una explicación.</w:t>
      </w:r>
    </w:p>
    <w:p>
      <w:pPr>
        <w:pStyle w:val="Heading2"/>
      </w:pPr>
      <w:r>
        <w:t>Cinco observaciones</w:t>
      </w:r>
    </w:p>
    <w:p>
      <w:pPr>
        <w:widowControl/>
      </w:pPr>
      <w:r>
        <w:t>Escribe afirmaciones precisas y acompaña cada una con su referencia. Por ejemplo, puedes observar una acción o señalar dónde aparece una pregunta sin resolver todavía todas sus implicaciones.</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936"/>
        <w:gridCol w:w="7992"/>
        <w:gridCol w:w="1152"/>
      </w:tblGrid>
      <w:tr>
        <w:trPr>
          <w:cantSplit/>
          <w:tblHeader/>
        </w:trPr>
        <w:tc>
          <w:tcPr>
            <w:tcW w:type="dxa" w:w="936"/>
            <w:vAlign w:val="center"/>
            <w:shd w:fill="E8EDF2"/>
            <w:tcMar>
              <w:top w:w="95" w:type="dxa"/>
              <w:left w:w="95" w:type="dxa"/>
              <w:bottom w:w="95" w:type="dxa"/>
              <w:right w:w="95" w:type="dxa"/>
            </w:tcMar>
          </w:tcPr>
          <w:p>
            <w:pPr>
              <w:spacing w:after="20" w:before="20" w:line="252" w:lineRule="auto"/>
              <w:jc w:val="center"/>
            </w:pPr>
            <w:r>
              <w:rPr>
                <w:b/>
                <w:sz w:val="20"/>
              </w:rPr>
              <w:t>Número</w:t>
            </w:r>
          </w:p>
        </w:tc>
        <w:tc>
          <w:tcPr>
            <w:tcW w:type="dxa" w:w="7992"/>
            <w:vAlign w:val="center"/>
            <w:shd w:fill="E8EDF2"/>
            <w:tcMar>
              <w:top w:w="95" w:type="dxa"/>
              <w:left w:w="95" w:type="dxa"/>
              <w:bottom w:w="95" w:type="dxa"/>
              <w:right w:w="95" w:type="dxa"/>
            </w:tcMar>
          </w:tcPr>
          <w:p>
            <w:pPr>
              <w:spacing w:after="20" w:before="20" w:line="252" w:lineRule="auto"/>
            </w:pPr>
            <w:r>
              <w:rPr>
                <w:b/>
                <w:sz w:val="20"/>
              </w:rPr>
              <w:t>Qué observo</w:t>
            </w:r>
          </w:p>
        </w:tc>
        <w:tc>
          <w:tcPr>
            <w:tcW w:type="dxa" w:w="1152"/>
            <w:vAlign w:val="center"/>
            <w:shd w:fill="E8EDF2"/>
            <w:tcMar>
              <w:top w:w="95" w:type="dxa"/>
              <w:left w:w="95" w:type="dxa"/>
              <w:bottom w:w="95" w:type="dxa"/>
              <w:right w:w="95" w:type="dxa"/>
            </w:tcMar>
          </w:tcPr>
          <w:p>
            <w:pPr>
              <w:spacing w:after="20" w:before="20" w:line="252" w:lineRule="auto"/>
            </w:pPr>
            <w:r>
              <w:rPr>
                <w:b/>
                <w:sz w:val="20"/>
              </w:rPr>
              <w:t>Versículo</w:t>
            </w:r>
          </w:p>
        </w:tc>
      </w:tr>
      <w:tr>
        <w:trPr>
          <w:trHeight w:val="504" w:hRule="atLeast"/>
          <w:cantSplit/>
        </w:trPr>
        <w:tc>
          <w:tcPr>
            <w:tcW w:type="dxa" w:w="936"/>
            <w:vAlign w:val="center"/>
            <w:shd w:fill="FFFFFF"/>
            <w:tcMar>
              <w:top w:w="95" w:type="dxa"/>
              <w:left w:w="95" w:type="dxa"/>
              <w:bottom w:w="95" w:type="dxa"/>
              <w:right w:w="95" w:type="dxa"/>
            </w:tcMar>
          </w:tcPr>
          <w:p>
            <w:pPr>
              <w:spacing w:after="20" w:before="20" w:line="252" w:lineRule="auto"/>
              <w:jc w:val="center"/>
            </w:pPr>
            <w:r>
              <w:rPr>
                <w:b w:val="0"/>
                <w:sz w:val="20"/>
              </w:rPr>
              <w:t>1</w:t>
            </w:r>
          </w:p>
        </w:tc>
        <w:tc>
          <w:tcPr>
            <w:tcW w:type="dxa" w:w="7992"/>
            <w:vAlign w:val="center"/>
            <w:shd w:fill="FFFFFF"/>
            <w:tcMar>
              <w:top w:w="95" w:type="dxa"/>
              <w:left w:w="95" w:type="dxa"/>
              <w:bottom w:w="95" w:type="dxa"/>
              <w:right w:w="95" w:type="dxa"/>
            </w:tcMar>
          </w:tcPr>
          <w:p>
            <w:pPr>
              <w:spacing w:after="20" w:before="20" w:line="252" w:lineRule="auto"/>
            </w:pPr>
          </w:p>
        </w:tc>
        <w:tc>
          <w:tcPr>
            <w:tcW w:type="dxa" w:w="1152"/>
            <w:vAlign w:val="center"/>
            <w:shd w:fill="FFFFFF"/>
            <w:tcMar>
              <w:top w:w="95" w:type="dxa"/>
              <w:left w:w="95" w:type="dxa"/>
              <w:bottom w:w="95" w:type="dxa"/>
              <w:right w:w="95" w:type="dxa"/>
            </w:tcMar>
          </w:tcPr>
          <w:p>
            <w:pPr>
              <w:spacing w:after="20" w:before="20" w:line="252" w:lineRule="auto"/>
            </w:pPr>
          </w:p>
        </w:tc>
      </w:tr>
      <w:tr>
        <w:trPr>
          <w:trHeight w:val="504" w:hRule="atLeast"/>
          <w:cantSplit/>
        </w:trPr>
        <w:tc>
          <w:tcPr>
            <w:tcW w:type="dxa" w:w="936"/>
            <w:vAlign w:val="center"/>
            <w:shd w:fill="F5F7F9"/>
            <w:tcMar>
              <w:top w:w="95" w:type="dxa"/>
              <w:left w:w="95" w:type="dxa"/>
              <w:bottom w:w="95" w:type="dxa"/>
              <w:right w:w="95" w:type="dxa"/>
            </w:tcMar>
          </w:tcPr>
          <w:p>
            <w:pPr>
              <w:spacing w:after="20" w:before="20" w:line="252" w:lineRule="auto"/>
              <w:jc w:val="center"/>
            </w:pPr>
            <w:r>
              <w:rPr>
                <w:b w:val="0"/>
                <w:sz w:val="20"/>
              </w:rPr>
              <w:t>2</w:t>
            </w:r>
          </w:p>
        </w:tc>
        <w:tc>
          <w:tcPr>
            <w:tcW w:type="dxa" w:w="7992"/>
            <w:vAlign w:val="center"/>
            <w:shd w:fill="F5F7F9"/>
            <w:tcMar>
              <w:top w:w="95" w:type="dxa"/>
              <w:left w:w="95" w:type="dxa"/>
              <w:bottom w:w="95" w:type="dxa"/>
              <w:right w:w="95" w:type="dxa"/>
            </w:tcMar>
          </w:tcPr>
          <w:p>
            <w:pPr>
              <w:spacing w:after="20" w:before="20" w:line="252" w:lineRule="auto"/>
            </w:pPr>
          </w:p>
        </w:tc>
        <w:tc>
          <w:tcPr>
            <w:tcW w:type="dxa" w:w="1152"/>
            <w:vAlign w:val="center"/>
            <w:shd w:fill="F5F7F9"/>
            <w:tcMar>
              <w:top w:w="95" w:type="dxa"/>
              <w:left w:w="95" w:type="dxa"/>
              <w:bottom w:w="95" w:type="dxa"/>
              <w:right w:w="95" w:type="dxa"/>
            </w:tcMar>
          </w:tcPr>
          <w:p>
            <w:pPr>
              <w:spacing w:after="20" w:before="20" w:line="252" w:lineRule="auto"/>
            </w:pPr>
          </w:p>
        </w:tc>
      </w:tr>
      <w:tr>
        <w:trPr>
          <w:trHeight w:val="504" w:hRule="atLeast"/>
          <w:cantSplit/>
        </w:trPr>
        <w:tc>
          <w:tcPr>
            <w:tcW w:type="dxa" w:w="936"/>
            <w:vAlign w:val="center"/>
            <w:shd w:fill="FFFFFF"/>
            <w:tcMar>
              <w:top w:w="95" w:type="dxa"/>
              <w:left w:w="95" w:type="dxa"/>
              <w:bottom w:w="95" w:type="dxa"/>
              <w:right w:w="95" w:type="dxa"/>
            </w:tcMar>
          </w:tcPr>
          <w:p>
            <w:pPr>
              <w:spacing w:after="20" w:before="20" w:line="252" w:lineRule="auto"/>
              <w:jc w:val="center"/>
            </w:pPr>
            <w:r>
              <w:rPr>
                <w:b w:val="0"/>
                <w:sz w:val="20"/>
              </w:rPr>
              <w:t>3</w:t>
            </w:r>
          </w:p>
        </w:tc>
        <w:tc>
          <w:tcPr>
            <w:tcW w:type="dxa" w:w="7992"/>
            <w:vAlign w:val="center"/>
            <w:shd w:fill="FFFFFF"/>
            <w:tcMar>
              <w:top w:w="95" w:type="dxa"/>
              <w:left w:w="95" w:type="dxa"/>
              <w:bottom w:w="95" w:type="dxa"/>
              <w:right w:w="95" w:type="dxa"/>
            </w:tcMar>
          </w:tcPr>
          <w:p>
            <w:pPr>
              <w:spacing w:after="20" w:before="20" w:line="252" w:lineRule="auto"/>
            </w:pPr>
          </w:p>
        </w:tc>
        <w:tc>
          <w:tcPr>
            <w:tcW w:type="dxa" w:w="1152"/>
            <w:vAlign w:val="center"/>
            <w:shd w:fill="FFFFFF"/>
            <w:tcMar>
              <w:top w:w="95" w:type="dxa"/>
              <w:left w:w="95" w:type="dxa"/>
              <w:bottom w:w="95" w:type="dxa"/>
              <w:right w:w="95" w:type="dxa"/>
            </w:tcMar>
          </w:tcPr>
          <w:p>
            <w:pPr>
              <w:spacing w:after="20" w:before="20" w:line="252" w:lineRule="auto"/>
            </w:pPr>
          </w:p>
        </w:tc>
      </w:tr>
      <w:tr>
        <w:trPr>
          <w:trHeight w:val="504" w:hRule="atLeast"/>
          <w:cantSplit/>
        </w:trPr>
        <w:tc>
          <w:tcPr>
            <w:tcW w:type="dxa" w:w="936"/>
            <w:vAlign w:val="center"/>
            <w:shd w:fill="F5F7F9"/>
            <w:tcMar>
              <w:top w:w="95" w:type="dxa"/>
              <w:left w:w="95" w:type="dxa"/>
              <w:bottom w:w="95" w:type="dxa"/>
              <w:right w:w="95" w:type="dxa"/>
            </w:tcMar>
          </w:tcPr>
          <w:p>
            <w:pPr>
              <w:spacing w:after="20" w:before="20" w:line="252" w:lineRule="auto"/>
              <w:jc w:val="center"/>
            </w:pPr>
            <w:r>
              <w:rPr>
                <w:b w:val="0"/>
                <w:sz w:val="20"/>
              </w:rPr>
              <w:t>4</w:t>
            </w:r>
          </w:p>
        </w:tc>
        <w:tc>
          <w:tcPr>
            <w:tcW w:type="dxa" w:w="7992"/>
            <w:vAlign w:val="center"/>
            <w:shd w:fill="F5F7F9"/>
            <w:tcMar>
              <w:top w:w="95" w:type="dxa"/>
              <w:left w:w="95" w:type="dxa"/>
              <w:bottom w:w="95" w:type="dxa"/>
              <w:right w:w="95" w:type="dxa"/>
            </w:tcMar>
          </w:tcPr>
          <w:p>
            <w:pPr>
              <w:spacing w:after="20" w:before="20" w:line="252" w:lineRule="auto"/>
            </w:pPr>
          </w:p>
        </w:tc>
        <w:tc>
          <w:tcPr>
            <w:tcW w:type="dxa" w:w="1152"/>
            <w:vAlign w:val="center"/>
            <w:shd w:fill="F5F7F9"/>
            <w:tcMar>
              <w:top w:w="95" w:type="dxa"/>
              <w:left w:w="95" w:type="dxa"/>
              <w:bottom w:w="95" w:type="dxa"/>
              <w:right w:w="95" w:type="dxa"/>
            </w:tcMar>
          </w:tcPr>
          <w:p>
            <w:pPr>
              <w:spacing w:after="20" w:before="20" w:line="252" w:lineRule="auto"/>
            </w:pPr>
          </w:p>
        </w:tc>
      </w:tr>
      <w:tr>
        <w:trPr>
          <w:trHeight w:val="504" w:hRule="atLeast"/>
          <w:cantSplit/>
        </w:trPr>
        <w:tc>
          <w:tcPr>
            <w:tcW w:type="dxa" w:w="936"/>
            <w:vAlign w:val="center"/>
            <w:shd w:fill="FFFFFF"/>
            <w:tcMar>
              <w:top w:w="95" w:type="dxa"/>
              <w:left w:w="95" w:type="dxa"/>
              <w:bottom w:w="95" w:type="dxa"/>
              <w:right w:w="95" w:type="dxa"/>
            </w:tcMar>
          </w:tcPr>
          <w:p>
            <w:pPr>
              <w:spacing w:after="20" w:before="20" w:line="252" w:lineRule="auto"/>
              <w:jc w:val="center"/>
            </w:pPr>
            <w:r>
              <w:rPr>
                <w:b w:val="0"/>
                <w:sz w:val="20"/>
              </w:rPr>
              <w:t>5</w:t>
            </w:r>
          </w:p>
        </w:tc>
        <w:tc>
          <w:tcPr>
            <w:tcW w:type="dxa" w:w="7992"/>
            <w:vAlign w:val="center"/>
            <w:shd w:fill="FFFFFF"/>
            <w:tcMar>
              <w:top w:w="95" w:type="dxa"/>
              <w:left w:w="95" w:type="dxa"/>
              <w:bottom w:w="95" w:type="dxa"/>
              <w:right w:w="95" w:type="dxa"/>
            </w:tcMar>
          </w:tcPr>
          <w:p>
            <w:pPr>
              <w:spacing w:after="20" w:before="20" w:line="252" w:lineRule="auto"/>
            </w:pPr>
          </w:p>
        </w:tc>
        <w:tc>
          <w:tcPr>
            <w:tcW w:type="dxa" w:w="1152"/>
            <w:vAlign w:val="center"/>
            <w:shd w:fill="FFFFFF"/>
            <w:tcMar>
              <w:top w:w="95" w:type="dxa"/>
              <w:left w:w="95" w:type="dxa"/>
              <w:bottom w:w="95" w:type="dxa"/>
              <w:right w:w="95" w:type="dxa"/>
            </w:tcMar>
          </w:tcPr>
          <w:p>
            <w:pPr>
              <w:spacing w:after="20" w:before="20" w:line="252" w:lineRule="auto"/>
            </w:pPr>
          </w:p>
        </w:tc>
      </w:tr>
    </w:tbl>
    <w:p>
      <w:pPr>
        <w:spacing w:after="40"/>
      </w:pPr>
    </w:p>
    <w:p>
      <w:pPr>
        <w:widowControl/>
      </w:pPr>
      <w:r>
        <w:rPr>
          <w:b/>
        </w:rPr>
        <w:t>Estructura:</w:t>
      </w:r>
      <w:r>
        <w:t xml:space="preserve"> resume el inicio, el conflicto y el desenlace sin añadir detalles que el relato no ofrece.</w:t>
      </w:r>
    </w:p>
    <w:p>
      <w:pPr>
        <w:keepNext w:val="0"/>
        <w:spacing w:after="0" w:line="240" w:lineRule="exact"/>
      </w:pPr>
      <w:r>
        <w:br/>
        <w:br/>
      </w:r>
    </w:p>
    <w:p>
      <w:pPr>
        <w:widowControl/>
      </w:pPr>
      <w:r>
        <w:rPr>
          <w:b/>
        </w:rPr>
        <w:t>Atención al cierre:</w:t>
      </w:r>
      <w:r>
        <w:t xml:space="preserve"> ¿qué pregunta aparece al final y por qué conviene detenerse en ella antes de aplicar el relato a nuestras dificultades?</w:t>
      </w:r>
    </w:p>
    <w:p>
      <w:pPr>
        <w:keepNext w:val="0"/>
        <w:spacing w:after="0" w:line="240" w:lineRule="exact"/>
      </w:pPr>
      <w:r>
        <w:br/>
        <w:br/>
      </w:r>
    </w:p>
    <w:p>
      <w:pPr>
        <w:widowControl/>
      </w:pPr>
      <w:r>
        <w:rPr>
          <w:b/>
        </w:rPr>
        <w:t>Mi pregunta abierta:</w:t>
      </w:r>
      <w:r>
        <w:t xml:space="preserve"> anota algo que todavía no sabes. Distingue una duda que el texto podría responder de una curiosidad que el narrador no explica.</w:t>
      </w:r>
    </w:p>
    <w:p>
      <w:pPr>
        <w:keepNext w:val="0"/>
        <w:spacing w:after="0" w:line="240" w:lineRule="exact"/>
      </w:pPr>
      <w:r>
        <w:br/>
      </w:r>
    </w:p>
    <w:p>
      <w:r>
        <w:br w:type="page"/>
      </w:r>
    </w:p>
    <w:p>
      <w:pPr>
        <w:pStyle w:val="Heading1"/>
      </w:pPr>
      <w:r>
        <w:t>Clase 4 Interpretar sin inventar</w:t>
      </w:r>
    </w:p>
    <w:p>
      <w:pPr>
        <w:widowControl/>
      </w:pPr>
      <w:r>
        <w:rPr>
          <w:b/>
        </w:rPr>
        <w:t>Meta:</w:t>
      </w:r>
      <w:r>
        <w:t xml:space="preserve"> expresar la idea central de Marcos 4:35–41 y justificarla. Relee el pasaje junto con tus observaciones anteriores.</w:t>
      </w:r>
    </w:p>
    <w:p>
      <w:pPr>
        <w:widowControl/>
      </w:pPr>
      <w:r>
        <w:t>Una interpretación sólida debe mostrar apoyo textual, respetar contexto y género, y mantener coherencia con el conjunto bíblico. Una ilustración puede ayudar, pero sus detalles imaginados no se convierten por ello en enseñanza del autor.</w:t>
      </w:r>
    </w:p>
    <w:p>
      <w:pPr>
        <w:pStyle w:val="Heading2"/>
      </w:pPr>
      <w:r>
        <w:t>Actividad</w:t>
      </w:r>
    </w:p>
    <w:p>
      <w:pPr>
        <w:widowControl/>
      </w:pPr>
      <w:r>
        <w:t>Clasifica cada frase como observación, interpretación, especulación o aplicación. Después comprueba tus respuestas al final de la guía.</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7200"/>
        <w:gridCol w:w="2880"/>
      </w:tblGrid>
      <w:tr>
        <w:trPr>
          <w:cantSplit/>
          <w:tblHeader/>
        </w:trPr>
        <w:tc>
          <w:tcPr>
            <w:tcW w:type="dxa" w:w="7200"/>
            <w:vAlign w:val="center"/>
            <w:shd w:fill="E8EDF2"/>
            <w:tcMar>
              <w:top w:w="95" w:type="dxa"/>
              <w:left w:w="95" w:type="dxa"/>
              <w:bottom w:w="95" w:type="dxa"/>
              <w:right w:w="95" w:type="dxa"/>
            </w:tcMar>
          </w:tcPr>
          <w:p>
            <w:pPr>
              <w:spacing w:after="20" w:before="20" w:line="252" w:lineRule="auto"/>
            </w:pPr>
            <w:r>
              <w:rPr>
                <w:b/>
                <w:sz w:val="20"/>
              </w:rPr>
              <w:t>Afirmación</w:t>
            </w:r>
          </w:p>
        </w:tc>
        <w:tc>
          <w:tcPr>
            <w:tcW w:type="dxa" w:w="2880"/>
            <w:vAlign w:val="center"/>
            <w:shd w:fill="E8EDF2"/>
            <w:tcMar>
              <w:top w:w="95" w:type="dxa"/>
              <w:left w:w="95" w:type="dxa"/>
              <w:bottom w:w="95" w:type="dxa"/>
              <w:right w:w="95" w:type="dxa"/>
            </w:tcMar>
          </w:tcPr>
          <w:p>
            <w:pPr>
              <w:spacing w:after="20" w:before="20" w:line="252" w:lineRule="auto"/>
            </w:pPr>
            <w:r>
              <w:rPr>
                <w:b/>
                <w:sz w:val="20"/>
              </w:rPr>
              <w:t>Clasificación</w:t>
            </w:r>
          </w:p>
        </w:tc>
      </w:tr>
      <w:tr>
        <w:trPr>
          <w:trHeight w:val="504" w:hRule="atLeast"/>
          <w:cantSplit/>
        </w:trPr>
        <w:tc>
          <w:tcPr>
            <w:tcW w:type="dxa" w:w="7200"/>
            <w:vAlign w:val="center"/>
            <w:shd w:fill="FFFFFF"/>
            <w:tcMar>
              <w:top w:w="95" w:type="dxa"/>
              <w:left w:w="95" w:type="dxa"/>
              <w:bottom w:w="95" w:type="dxa"/>
              <w:right w:w="95" w:type="dxa"/>
            </w:tcMar>
          </w:tcPr>
          <w:p>
            <w:pPr>
              <w:spacing w:after="20" w:before="20" w:line="252" w:lineRule="auto"/>
            </w:pPr>
            <w:r>
              <w:rPr>
                <w:b w:val="0"/>
                <w:sz w:val="20"/>
              </w:rPr>
              <w:t>El relato termina con una pregunta sobre Jesús</w:t>
            </w:r>
          </w:p>
        </w:tc>
        <w:tc>
          <w:tcPr>
            <w:tcW w:type="dxa" w:w="2880"/>
            <w:vAlign w:val="center"/>
            <w:shd w:fill="FFFFFF"/>
            <w:tcMar>
              <w:top w:w="95" w:type="dxa"/>
              <w:left w:w="95" w:type="dxa"/>
              <w:bottom w:w="95" w:type="dxa"/>
              <w:right w:w="95" w:type="dxa"/>
            </w:tcMar>
          </w:tcPr>
          <w:p>
            <w:pPr>
              <w:spacing w:after="20" w:before="20" w:line="252" w:lineRule="auto"/>
            </w:pPr>
          </w:p>
        </w:tc>
      </w:tr>
      <w:tr>
        <w:trPr>
          <w:trHeight w:val="504" w:hRule="atLeast"/>
          <w:cantSplit/>
        </w:trPr>
        <w:tc>
          <w:tcPr>
            <w:tcW w:type="dxa" w:w="7200"/>
            <w:vAlign w:val="center"/>
            <w:shd w:fill="F5F7F9"/>
            <w:tcMar>
              <w:top w:w="95" w:type="dxa"/>
              <w:left w:w="95" w:type="dxa"/>
              <w:bottom w:w="95" w:type="dxa"/>
              <w:right w:w="95" w:type="dxa"/>
            </w:tcMar>
          </w:tcPr>
          <w:p>
            <w:pPr>
              <w:spacing w:after="20" w:before="20" w:line="252" w:lineRule="auto"/>
            </w:pPr>
            <w:r>
              <w:rPr>
                <w:b w:val="0"/>
                <w:sz w:val="20"/>
              </w:rPr>
              <w:t>La escena destaca la autoridad de Jesús e invita a confiar en él</w:t>
            </w:r>
          </w:p>
        </w:tc>
        <w:tc>
          <w:tcPr>
            <w:tcW w:type="dxa" w:w="2880"/>
            <w:vAlign w:val="center"/>
            <w:shd w:fill="F5F7F9"/>
            <w:tcMar>
              <w:top w:w="95" w:type="dxa"/>
              <w:left w:w="95" w:type="dxa"/>
              <w:bottom w:w="95" w:type="dxa"/>
              <w:right w:w="95" w:type="dxa"/>
            </w:tcMar>
          </w:tcPr>
          <w:p>
            <w:pPr>
              <w:spacing w:after="20" w:before="20" w:line="252" w:lineRule="auto"/>
            </w:pPr>
          </w:p>
        </w:tc>
      </w:tr>
      <w:tr>
        <w:trPr>
          <w:trHeight w:val="504" w:hRule="atLeast"/>
          <w:cantSplit/>
        </w:trPr>
        <w:tc>
          <w:tcPr>
            <w:tcW w:type="dxa" w:w="7200"/>
            <w:vAlign w:val="center"/>
            <w:shd w:fill="FFFFFF"/>
            <w:tcMar>
              <w:top w:w="95" w:type="dxa"/>
              <w:left w:w="95" w:type="dxa"/>
              <w:bottom w:w="95" w:type="dxa"/>
              <w:right w:w="95" w:type="dxa"/>
            </w:tcMar>
          </w:tcPr>
          <w:p>
            <w:pPr>
              <w:spacing w:after="20" w:before="20" w:line="252" w:lineRule="auto"/>
            </w:pPr>
            <w:r>
              <w:rPr>
                <w:b w:val="0"/>
                <w:sz w:val="20"/>
              </w:rPr>
              <w:t>Cada ola simboliza una crítica contra mi ministerio</w:t>
            </w:r>
          </w:p>
        </w:tc>
        <w:tc>
          <w:tcPr>
            <w:tcW w:type="dxa" w:w="2880"/>
            <w:vAlign w:val="center"/>
            <w:shd w:fill="FFFFFF"/>
            <w:tcMar>
              <w:top w:w="95" w:type="dxa"/>
              <w:left w:w="95" w:type="dxa"/>
              <w:bottom w:w="95" w:type="dxa"/>
              <w:right w:w="95" w:type="dxa"/>
            </w:tcMar>
          </w:tcPr>
          <w:p>
            <w:pPr>
              <w:spacing w:after="20" w:before="20" w:line="252" w:lineRule="auto"/>
            </w:pPr>
          </w:p>
        </w:tc>
      </w:tr>
      <w:tr>
        <w:trPr>
          <w:trHeight w:val="504" w:hRule="atLeast"/>
          <w:cantSplit/>
        </w:trPr>
        <w:tc>
          <w:tcPr>
            <w:tcW w:type="dxa" w:w="7200"/>
            <w:vAlign w:val="center"/>
            <w:shd w:fill="F5F7F9"/>
            <w:tcMar>
              <w:top w:w="95" w:type="dxa"/>
              <w:left w:w="95" w:type="dxa"/>
              <w:bottom w:w="95" w:type="dxa"/>
              <w:right w:w="95" w:type="dxa"/>
            </w:tcMar>
          </w:tcPr>
          <w:p>
            <w:pPr>
              <w:spacing w:after="20" w:before="20" w:line="252" w:lineRule="auto"/>
            </w:pPr>
            <w:r>
              <w:rPr>
                <w:b w:val="0"/>
                <w:sz w:val="20"/>
              </w:rPr>
              <w:t>Llevaré mis temores a Cristo en oración esta semana</w:t>
            </w:r>
          </w:p>
        </w:tc>
        <w:tc>
          <w:tcPr>
            <w:tcW w:type="dxa" w:w="2880"/>
            <w:vAlign w:val="center"/>
            <w:shd w:fill="F5F7F9"/>
            <w:tcMar>
              <w:top w:w="95" w:type="dxa"/>
              <w:left w:w="95" w:type="dxa"/>
              <w:bottom w:w="95" w:type="dxa"/>
              <w:right w:w="95" w:type="dxa"/>
            </w:tcMar>
          </w:tcPr>
          <w:p>
            <w:pPr>
              <w:spacing w:after="20" w:before="20" w:line="252" w:lineRule="auto"/>
            </w:pPr>
          </w:p>
        </w:tc>
      </w:tr>
    </w:tbl>
    <w:p>
      <w:pPr>
        <w:spacing w:after="40"/>
      </w:pPr>
    </w:p>
    <w:p>
      <w:pPr>
        <w:widowControl/>
      </w:pPr>
      <w:r>
        <w:rPr>
          <w:b/>
        </w:rPr>
        <w:t>Idea central:</w:t>
      </w:r>
      <w:r>
        <w:t xml:space="preserve"> escribe de qué trata el pasaje y qué comunica sobre ese asunto. Utiliza una o dos frases.</w:t>
      </w:r>
    </w:p>
    <w:p>
      <w:pPr>
        <w:keepNext w:val="0"/>
        <w:spacing w:after="0" w:line="240" w:lineRule="exact"/>
      </w:pPr>
      <w:r>
        <w:br/>
        <w:br/>
      </w:r>
    </w:p>
    <w:p>
      <w:pPr>
        <w:widowControl/>
      </w:pPr>
      <w:r>
        <w:rPr>
          <w:b/>
        </w:rPr>
        <w:t>Dos evidencias:</w:t>
      </w:r>
      <w:r>
        <w:t xml:space="preserve"> señala acciones o palabras que apoyan tu interpretación y anota sus referencias.</w:t>
      </w:r>
    </w:p>
    <w:p>
      <w:pPr>
        <w:keepNext w:val="0"/>
        <w:spacing w:after="0" w:line="240" w:lineRule="exact"/>
      </w:pPr>
      <w:r>
        <w:br/>
        <w:br/>
      </w:r>
    </w:p>
    <w:p>
      <w:pPr>
        <w:widowControl/>
      </w:pPr>
      <w:r>
        <w:rPr>
          <w:b/>
        </w:rPr>
        <w:t>Una lectura que debes revisar:</w:t>
      </w:r>
      <w:r>
        <w:t xml:space="preserve"> ¿por qué este relato no basta para garantizar que toda dificultad acabará de inmediato si pronunciamos una fórmula?</w:t>
      </w:r>
    </w:p>
    <w:p>
      <w:pPr>
        <w:keepNext w:val="0"/>
        <w:spacing w:after="0" w:line="240" w:lineRule="exact"/>
      </w:pPr>
      <w:r>
        <w:br/>
      </w:r>
    </w:p>
    <w:p>
      <w:pPr>
        <w:widowControl/>
      </w:pPr>
      <w:r>
        <w:rPr>
          <w:b/>
        </w:rPr>
        <w:t>Comprueba tu avance:</w:t>
      </w:r>
      <w:r>
        <w:t xml:space="preserve"> puedo explicar cómo llegué a mi conclusión y señalar sus límites.</w:t>
      </w:r>
    </w:p>
    <w:p>
      <w:r>
        <w:br w:type="page"/>
      </w:r>
    </w:p>
    <w:p>
      <w:pPr>
        <w:pStyle w:val="Heading1"/>
      </w:pPr>
      <w:r>
        <w:t>Clase 5 Leer a la luz de Cristo</w:t>
      </w:r>
    </w:p>
    <w:p>
      <w:pPr>
        <w:widowControl/>
      </w:pPr>
      <w:r>
        <w:rPr>
          <w:b/>
        </w:rPr>
        <w:t>Meta:</w:t>
      </w:r>
      <w:r>
        <w:t xml:space="preserve"> construir una conexión con Cristo que tenga fundamento bíblico. Lee Lucas 24:13–35, especialmente 25–27, y 24:44–49. Después lee Éxodo 12:1–14 y 1 Corintios 5:7–8.</w:t>
      </w:r>
    </w:p>
    <w:p>
      <w:pPr>
        <w:widowControl/>
      </w:pPr>
      <w:r>
        <w:t>Comienza por el sentido del pasaje, reconoce su lugar en la historia bíblica y explica qué sostiene la relación con Jesucristo. La tipología estudia correspondencias sustentadas en las Escrituras; asignar significados sin base suficiente produce una alegoría arbitraria.</w:t>
      </w:r>
    </w:p>
    <w:p>
      <w:pPr>
        <w:pStyle w:val="Heading2"/>
      </w:pPr>
      <w:r>
        <w:t>Actividad</w:t>
      </w:r>
    </w:p>
    <w:p>
      <w:pPr>
        <w:widowControl/>
      </w:pPr>
      <w:r>
        <w:rPr>
          <w:b/>
        </w:rPr>
        <w:t>1. Emaús:</w:t>
      </w:r>
      <w:r>
        <w:t xml:space="preserve"> explica Lucas 24:25–27 dentro de la escena. ¿Qué ayuda Jesús a comprender? Evita inventar una lista de los pasajes que explicó.</w:t>
      </w:r>
    </w:p>
    <w:p>
      <w:pPr>
        <w:keepNext w:val="0"/>
        <w:spacing w:after="0" w:line="240" w:lineRule="exact"/>
      </w:pPr>
      <w:r>
        <w:br/>
        <w:br/>
      </w:r>
    </w:p>
    <w:p>
      <w:pPr>
        <w:widowControl/>
      </w:pPr>
      <w:r>
        <w:rPr>
          <w:b/>
        </w:rPr>
        <w:t>2. Un vínculo comprobable:</w:t>
      </w:r>
      <w:r>
        <w:t xml:space="preserve"> ¿qué relación establece 1 Corintios 5:7–8 con la Pascua? ¿Cómo permite relacionar Éxodo 12 con Cristo?</w:t>
      </w:r>
    </w:p>
    <w:p>
      <w:pPr>
        <w:keepNext w:val="0"/>
        <w:spacing w:after="0" w:line="240" w:lineRule="exact"/>
      </w:pPr>
      <w:r>
        <w:br/>
        <w:br/>
      </w:r>
    </w:p>
    <w:p>
      <w:pPr>
        <w:widowControl/>
      </w:pPr>
      <w:r>
        <w:rPr>
          <w:b/>
        </w:rPr>
        <w:t>3. Un límite necesario:</w:t>
      </w:r>
      <w:r>
        <w:t xml:space="preserve"> explica por qué esa relación no autoriza a convertir cada utensilio de la comida pascual en un símbolo con significado secreto.</w:t>
      </w:r>
    </w:p>
    <w:p>
      <w:pPr>
        <w:keepNext w:val="0"/>
        <w:spacing w:after="0" w:line="240" w:lineRule="exact"/>
      </w:pPr>
      <w:r>
        <w:br/>
      </w:r>
    </w:p>
    <w:p>
      <w:pPr>
        <w:widowControl/>
      </w:pPr>
      <w:r>
        <w:rPr>
          <w:b/>
        </w:rPr>
        <w:t>4. La obra del Dios trino:</w:t>
      </w:r>
      <w:r>
        <w:t xml:space="preserve"> relaciona Lucas 24:49 con Hechos 1:4–8. ¿Cómo aparecen el Padre, el Hijo y el Espíritu en la promesa y el testimonio?</w:t>
      </w:r>
    </w:p>
    <w:p>
      <w:pPr>
        <w:keepNext w:val="0"/>
        <w:spacing w:after="0" w:line="240" w:lineRule="exact"/>
      </w:pPr>
      <w:r>
        <w:br/>
        <w:br/>
      </w:r>
    </w:p>
    <w:p>
      <w:pPr>
        <w:widowControl/>
      </w:pPr>
      <w:r>
        <w:rPr>
          <w:b/>
        </w:rPr>
        <w:t>Comprueba tu avance:</w:t>
      </w:r>
      <w:r>
        <w:t xml:space="preserve"> puedo mostrar un texto que respalda la conexión con Cristo y reconocer cuándo una asociación es solamente imaginada.</w:t>
      </w:r>
    </w:p>
    <w:p>
      <w:r>
        <w:br w:type="page"/>
      </w:r>
    </w:p>
    <w:p>
      <w:pPr>
        <w:pStyle w:val="Heading1"/>
      </w:pPr>
      <w:r>
        <w:t>Clase 6 Vivir lo que comprendemos</w:t>
      </w:r>
    </w:p>
    <w:p>
      <w:pPr>
        <w:widowControl/>
      </w:pPr>
      <w:r>
        <w:rPr>
          <w:b/>
        </w:rPr>
        <w:t>Meta:</w:t>
      </w:r>
      <w:r>
        <w:t xml:space="preserve"> proponer una aplicación vinculada con el texto, concreta y revisable. Lee Lucas 10:38–42 y considera 10:25–37 como contexto cercano. Usa Efesios 2:8–10 para recordar la relación entre gracia y buenas obras.</w:t>
      </w:r>
    </w:p>
    <w:p>
      <w:pPr>
        <w:widowControl/>
      </w:pPr>
      <w:r>
        <w:t>La prioridad de escuchar a Jesús debe orientar nuestro servicio. No utilizaremos esta escena para despreciar las tareas cotidianas, clasificar a las personas o convertir una rutina personal en mandamiento para todos.</w:t>
      </w:r>
    </w:p>
    <w:p>
      <w:pPr>
        <w:pStyle w:val="Heading2"/>
      </w:pPr>
      <w:r>
        <w:t>Preparación para la práctica final</w:t>
      </w:r>
    </w:p>
    <w:p>
      <w:pPr>
        <w:widowControl/>
      </w:pPr>
      <w:r>
        <w:rPr>
          <w:b/>
        </w:rPr>
        <w:t>Enseñanza del pasaje:</w:t>
      </w:r>
      <w:r>
        <w:t xml:space="preserve"> escribe qué prioridad afirma Jesús y qué parte de la escena sostiene tu respuesta.</w:t>
      </w:r>
    </w:p>
    <w:p>
      <w:pPr>
        <w:keepNext w:val="0"/>
        <w:spacing w:after="0" w:line="240" w:lineRule="exact"/>
      </w:pPr>
      <w:r>
        <w:br/>
        <w:br/>
      </w:r>
    </w:p>
    <w:p>
      <w:pPr>
        <w:widowControl/>
      </w:pPr>
      <w:r>
        <w:rPr>
          <w:b/>
        </w:rPr>
        <w:t>Una decisión posible:</w:t>
      </w:r>
      <w:r>
        <w:t xml:space="preserve"> define una acción, un momento y una revisión. Ejemplo de formato: durante los próximos días haré esta acción, en este momento, y revisaré lo aprendido en esta fecha.</w:t>
      </w:r>
    </w:p>
    <w:p>
      <w:pPr>
        <w:keepNext w:val="0"/>
        <w:spacing w:after="0" w:line="240" w:lineRule="exact"/>
      </w:pPr>
      <w:r>
        <w:br/>
        <w:br/>
      </w:r>
    </w:p>
    <w:p>
      <w:pPr>
        <w:widowControl/>
      </w:pPr>
      <w:r>
        <w:rPr>
          <w:b/>
        </w:rPr>
        <w:t>Distinción:</w:t>
      </w:r>
      <w:r>
        <w:t xml:space="preserve"> ¿qué parte de tu propuesta proviene de la enseñanza y qué parte es una decisión práctica tuya, como el horario o los minutos?</w:t>
      </w:r>
    </w:p>
    <w:p>
      <w:pPr>
        <w:keepNext w:val="0"/>
        <w:spacing w:after="0" w:line="240" w:lineRule="exact"/>
      </w:pPr>
      <w:r>
        <w:br/>
      </w:r>
    </w:p>
    <w:p>
      <w:pPr>
        <w:widowControl/>
      </w:pPr>
      <w:r>
        <w:rPr>
          <w:b/>
        </w:rPr>
        <w:t>Cuidado de las responsabilidades:</w:t>
      </w:r>
      <w:r>
        <w:t xml:space="preserve"> ¿tu propuesta considera a las personas que dependen de ti y tus condiciones reales?</w:t>
      </w:r>
    </w:p>
    <w:p>
      <w:pPr>
        <w:keepNext w:val="0"/>
        <w:spacing w:after="0" w:line="240" w:lineRule="exact"/>
      </w:pPr>
      <w:r>
        <w:br/>
      </w:r>
    </w:p>
    <w:p>
      <w:pPr>
        <w:widowControl/>
      </w:pPr>
      <w:r>
        <w:rPr>
          <w:b/>
        </w:rPr>
        <w:t>Gracia:</w:t>
      </w:r>
      <w:r>
        <w:t xml:space="preserve"> explica por qué cumplir una rutina de lectura no compra la salvación ni hace a una persona superior a otras.</w:t>
      </w:r>
    </w:p>
    <w:p>
      <w:pPr>
        <w:keepNext w:val="0"/>
        <w:spacing w:after="0" w:line="240" w:lineRule="exact"/>
      </w:pPr>
      <w:r>
        <w:br/>
      </w:r>
    </w:p>
    <w:p>
      <w:pPr>
        <w:widowControl/>
      </w:pPr>
      <w:r>
        <w:t>Completa después la práctica final. Revisa tus respuestas con la rúbrica y vuelve al texto cuando encuentres una conclusión que no puedes justificar.</w:t>
      </w:r>
    </w:p>
    <w:p>
      <w:r>
        <w:br w:type="page"/>
      </w:r>
    </w:p>
    <w:p>
      <w:pPr>
        <w:pStyle w:val="Heading1"/>
      </w:pPr>
      <w:r>
        <w:t>Ejemplo resuelto del método</w:t>
      </w:r>
    </w:p>
    <w:p>
      <w:pPr>
        <w:widowControl/>
      </w:pPr>
      <w:r>
        <w:rPr>
          <w:b/>
        </w:rPr>
        <w:t>Pasaje:</w:t>
      </w:r>
      <w:r>
        <w:t xml:space="preserve"> Filipenses 4:10–20. Este modelo muestra el recorrido; no es una fórmula que agote el significado del texto. Las explicaciones son paráfrasis e interpretación, no citas textuales.</w:t>
      </w:r>
    </w:p>
    <w:p>
      <w:pPr>
        <w:pStyle w:val="Heading2"/>
      </w:pPr>
      <w:r>
        <w:t>Qué observo</w:t>
      </w:r>
    </w:p>
    <w:p>
      <w:pPr>
        <w:widowControl/>
      </w:pPr>
      <w:r>
        <w:t>El párrafo agradece apoyo, menciona condiciones contrastantes y relaciona la fortaleza con Cristo. Puedo comprobar las observaciones siguiendo 4:10–14 y el resto de la unidad.</w:t>
      </w:r>
    </w:p>
    <w:p>
      <w:pPr>
        <w:pStyle w:val="Heading2"/>
      </w:pPr>
      <w:r>
        <w:t>Qué contexto necesito</w:t>
      </w:r>
    </w:p>
    <w:p>
      <w:pPr>
        <w:widowControl/>
      </w:pPr>
      <w:r>
        <w:t>Leo una carta a los creyentes de Filipos. Filipenses 1:12–14 menciona las prisiones de Pablo y el avance del evangelio. En 4:10–20 la relación con esa comunidad y su ayuda forman parte del argumento. No necesito resolver el lugar exacto de redacción para comprender el alcance de 4:13.</w:t>
      </w:r>
    </w:p>
    <w:p>
      <w:pPr>
        <w:pStyle w:val="Heading2"/>
      </w:pPr>
      <w:r>
        <w:t>Qué comunica</w:t>
      </w:r>
    </w:p>
    <w:p>
      <w:pPr>
        <w:widowControl/>
      </w:pPr>
      <w:r>
        <w:t>Pablo expresa gratitud y confianza: Cristo lo fortalece en circunstancias diversas. Por el contraste entre necesidad y abundancia, interpreto 4:13 como confianza para vivir en esas condiciones, no como garantía de cumplir todo deseo personal.</w:t>
      </w:r>
    </w:p>
    <w:p>
      <w:pPr>
        <w:pStyle w:val="Heading2"/>
      </w:pPr>
      <w:r>
        <w:t>Cómo se relaciona con Cristo</w:t>
      </w:r>
    </w:p>
    <w:p>
      <w:pPr>
        <w:widowControl/>
      </w:pPr>
      <w:r>
        <w:t>La referencia a Cristo es directa. Su fortaleza sostiene la vida del creyente. Relacionado con el evangelio, esto orienta nuestra confianza hacia el Señor que salva y sostiene; esa relación más amplia no debe confundirse con todos los temas que el párrafo desarrolla explícitamente.</w:t>
      </w:r>
    </w:p>
    <w:p>
      <w:pPr>
        <w:pStyle w:val="Heading2"/>
      </w:pPr>
      <w:r>
        <w:t>Qué aplicación se desprende</w:t>
      </w:r>
    </w:p>
    <w:p>
      <w:pPr>
        <w:widowControl/>
      </w:pPr>
      <w:r>
        <w:t>Si enfrento una dificultad, puedo reconocerla ante Cristo y buscar apoyo concreto. Esta semana hablaré con alguien de confianza sobre una necesidad y pensaré cómo acompañar a otra persona. Mi decisión práctica no establece un mandamiento de pedir ayuda a una persona específica ni promete que mi situación cambiará de inmediato.</w:t>
      </w:r>
    </w:p>
    <w:p>
      <w:pPr>
        <w:pStyle w:val="Heading2"/>
      </w:pPr>
      <w:r>
        <w:t>Cómo reviso mi respuesta</w:t>
      </w:r>
    </w:p>
    <w:p>
      <w:pPr>
        <w:widowControl/>
      </w:pPr>
      <w:r>
        <w:t>Comprobaré si expliqué el párrafo completo, si distinguí enseñanza y decisión personal, y si evité atribuir a falta de fe un resultado que no controlo. Pediré a otra persona que lea mis razones y me señale cualquier salto sin fundamento.</w:t>
      </w:r>
    </w:p>
    <w:p>
      <w:r>
        <w:br w:type="page"/>
      </w:r>
    </w:p>
    <w:p>
      <w:pPr>
        <w:pStyle w:val="Heading1"/>
      </w:pPr>
      <w:r>
        <w:t>Hoja reutilizable de estudio bíblico</w:t>
      </w:r>
    </w:p>
    <w:p>
      <w:pPr>
        <w:widowControl/>
      </w:pPr>
      <w:r>
        <w:t>Duplica esta página cuando estudies otra unidad. Si el pasaje es extenso, responde en un cuaderno siguiendo las mismas preguntas.</w:t>
      </w:r>
    </w:p>
    <w:p>
      <w:pPr>
        <w:widowControl/>
      </w:pPr>
      <w:r>
        <w:rPr>
          <w:b/>
        </w:rPr>
        <w:t>Pasaje, traducción y fecha:</w:t>
      </w:r>
    </w:p>
    <w:p>
      <w:pPr>
        <w:keepNext w:val="0"/>
        <w:spacing w:after="0" w:line="240" w:lineRule="exact"/>
      </w:pPr>
      <w:r/>
    </w:p>
    <w:p>
      <w:pPr>
        <w:widowControl/>
      </w:pPr>
      <w:r>
        <w:rPr>
          <w:b/>
        </w:rPr>
        <w:t>1. Qué observo:</w:t>
      </w:r>
      <w:r>
        <w:t xml:space="preserve"> personajes, acciones, repeticiones, contrastes, conectores y estructura. Anota referencias.</w:t>
      </w:r>
    </w:p>
    <w:p>
      <w:pPr>
        <w:keepNext w:val="0"/>
        <w:spacing w:after="0" w:line="240" w:lineRule="exact"/>
      </w:pPr>
      <w:r>
        <w:br/>
        <w:br/>
      </w:r>
    </w:p>
    <w:p>
      <w:pPr>
        <w:widowControl/>
      </w:pPr>
      <w:r>
        <w:rPr>
          <w:b/>
        </w:rPr>
        <w:t>2. Qué contexto necesito:</w:t>
      </w:r>
      <w:r>
        <w:t xml:space="preserve"> género, frases cercanas, argumento del libro y datos históricos comprobables. Separa lo que sabes de lo que necesitas consultar.</w:t>
      </w:r>
    </w:p>
    <w:p>
      <w:pPr>
        <w:keepNext w:val="0"/>
        <w:spacing w:after="0" w:line="240" w:lineRule="exact"/>
      </w:pPr>
      <w:r>
        <w:br/>
        <w:br/>
      </w:r>
    </w:p>
    <w:p>
      <w:pPr>
        <w:widowControl/>
      </w:pPr>
      <w:r>
        <w:rPr>
          <w:b/>
        </w:rPr>
        <w:t>3. Qué comunica:</w:t>
      </w:r>
      <w:r>
        <w:t xml:space="preserve"> idea central en una o dos frases y dos evidencias que la sostienen.</w:t>
      </w:r>
    </w:p>
    <w:p>
      <w:pPr>
        <w:keepNext w:val="0"/>
        <w:spacing w:after="0" w:line="240" w:lineRule="exact"/>
      </w:pPr>
      <w:r>
        <w:br/>
        <w:br/>
      </w:r>
    </w:p>
    <w:p>
      <w:pPr>
        <w:widowControl/>
      </w:pPr>
      <w:r>
        <w:rPr>
          <w:b/>
        </w:rPr>
        <w:t>4. Cómo se relaciona con Cristo:</w:t>
      </w:r>
      <w:r>
        <w:t xml:space="preserve"> explica el vínculo directo o su lugar en el conjunto bíblico y señala los textos que respaldan la conexión.</w:t>
      </w:r>
    </w:p>
    <w:p>
      <w:pPr>
        <w:keepNext w:val="0"/>
        <w:spacing w:after="0" w:line="240" w:lineRule="exact"/>
      </w:pPr>
      <w:r>
        <w:br/>
        <w:br/>
      </w:r>
    </w:p>
    <w:p>
      <w:pPr>
        <w:widowControl/>
      </w:pPr>
      <w:r>
        <w:rPr>
          <w:b/>
        </w:rPr>
        <w:t>5. Qué aplicación se desprende:</w:t>
      </w:r>
      <w:r>
        <w:t xml:space="preserve"> acción, circunstancias, momento y revisión. Distingue enseñanza bíblica y elección personal.</w:t>
      </w:r>
    </w:p>
    <w:p>
      <w:pPr>
        <w:keepNext w:val="0"/>
        <w:spacing w:after="0" w:line="240" w:lineRule="exact"/>
      </w:pPr>
      <w:r>
        <w:br/>
        <w:br/>
      </w:r>
    </w:p>
    <w:p>
      <w:pPr>
        <w:widowControl/>
      </w:pPr>
      <w:r>
        <w:rPr>
          <w:b/>
        </w:rPr>
        <w:t>Dudas, fuentes consultadas y ayuda digital utilizada:</w:t>
      </w:r>
    </w:p>
    <w:p>
      <w:pPr>
        <w:keepNext w:val="0"/>
        <w:spacing w:after="0" w:line="240" w:lineRule="exact"/>
      </w:pPr>
      <w:r>
        <w:br/>
      </w:r>
    </w:p>
    <w:p>
      <w:r>
        <w:br w:type="page"/>
      </w:r>
    </w:p>
    <w:p>
      <w:pPr>
        <w:pStyle w:val="Heading1"/>
      </w:pPr>
      <w:r>
        <w:t>Práctica final del curso</w:t>
      </w:r>
    </w:p>
    <w:p>
      <w:pPr>
        <w:widowControl/>
      </w:pPr>
      <w:r>
        <w:rPr>
          <w:b/>
        </w:rPr>
        <w:t>Pasaje:</w:t>
      </w:r>
      <w:r>
        <w:t xml:space="preserve"> Lucas 10:38–42. Lee también 10:25–37 como contexto cercano. Consulta Efesios 2:8–10 cuando relaciones aplicación y gracia.</w:t>
      </w:r>
    </w:p>
    <w:p>
      <w:pPr>
        <w:widowControl/>
      </w:pPr>
      <w:r>
        <w:rPr>
          <w:b/>
        </w:rPr>
        <w:t>Producto:</w:t>
      </w:r>
      <w:r>
        <w:t xml:space="preserve"> estudio de 350–500 palabras o audio de cuatro a cinco minutos. Usa las cinco preguntas de la hoja reutilizable. Puedes entregar una hoja aparte; esta página organiza el trabajo y la siguiente sirve para redactar.</w:t>
      </w:r>
    </w:p>
    <w:p>
      <w:pPr>
        <w:pStyle w:val="Heading2"/>
      </w:pPr>
      <w:r>
        <w:t>Qué debes incluir</w:t>
      </w:r>
    </w:p>
    <w:p>
      <w:pPr>
        <w:widowControl/>
      </w:pPr>
      <w:r>
        <w:t>1. Cinco observaciones con sus versículos.</w:t>
      </w:r>
    </w:p>
    <w:p>
      <w:pPr>
        <w:widowControl/>
      </w:pPr>
      <w:r>
        <w:t>2. Contexto literario y género; señala qué aporta la escena cercana sin exagerar sus implicaciones.</w:t>
      </w:r>
    </w:p>
    <w:p>
      <w:pPr>
        <w:widowControl/>
      </w:pPr>
      <w:r>
        <w:t>3. Idea central apoyada por dos evidencias.</w:t>
      </w:r>
    </w:p>
    <w:p>
      <w:pPr>
        <w:widowControl/>
      </w:pPr>
      <w:r>
        <w:t>4. Relación con Jesucristo y con la respuesta de un discípulo; distingue lo explícito de una síntesis más amplia del evangelio.</w:t>
      </w:r>
    </w:p>
    <w:p>
      <w:pPr>
        <w:widowControl/>
      </w:pPr>
      <w:r>
        <w:t>5. Una aplicación con acción, momento y revisión; explica por qué no desprecia el servicio ni convierte tu horario en una ley para todos.</w:t>
      </w:r>
    </w:p>
    <w:p>
      <w:pPr>
        <w:widowControl/>
      </w:pPr>
      <w:r>
        <w:t>6. Fuentes consultadas y declaración del uso de IA, si lo hubo. Si solamente utilizaste tu Biblia y esta guía, indícalo.</w:t>
      </w:r>
    </w:p>
    <w:p>
      <w:pPr>
        <w:pStyle w:val="Heading2"/>
      </w:pPr>
      <w:r>
        <w:t>Rúbrica de revisión</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160"/>
        <w:gridCol w:w="864"/>
        <w:gridCol w:w="7056"/>
      </w:tblGrid>
      <w:tr>
        <w:trPr>
          <w:cantSplit/>
          <w:tblHeader/>
        </w:trPr>
        <w:tc>
          <w:tcPr>
            <w:tcW w:type="dxa" w:w="2160"/>
            <w:vAlign w:val="center"/>
            <w:shd w:fill="E8EDF2"/>
            <w:tcMar>
              <w:top w:w="95" w:type="dxa"/>
              <w:left w:w="95" w:type="dxa"/>
              <w:bottom w:w="95" w:type="dxa"/>
              <w:right w:w="95" w:type="dxa"/>
            </w:tcMar>
          </w:tcPr>
          <w:p>
            <w:pPr>
              <w:spacing w:after="20" w:before="20" w:line="252" w:lineRule="auto"/>
            </w:pPr>
            <w:r>
              <w:rPr>
                <w:b/>
                <w:sz w:val="20"/>
              </w:rPr>
              <w:t>Criterio</w:t>
            </w:r>
          </w:p>
        </w:tc>
        <w:tc>
          <w:tcPr>
            <w:tcW w:type="dxa" w:w="864"/>
            <w:vAlign w:val="center"/>
            <w:shd w:fill="E8EDF2"/>
            <w:tcMar>
              <w:top w:w="95" w:type="dxa"/>
              <w:left w:w="95" w:type="dxa"/>
              <w:bottom w:w="95" w:type="dxa"/>
              <w:right w:w="95" w:type="dxa"/>
            </w:tcMar>
          </w:tcPr>
          <w:p>
            <w:pPr>
              <w:spacing w:after="20" w:before="20" w:line="252" w:lineRule="auto"/>
            </w:pPr>
            <w:r>
              <w:rPr>
                <w:b/>
                <w:sz w:val="20"/>
              </w:rPr>
              <w:t>Puntos</w:t>
            </w:r>
          </w:p>
        </w:tc>
        <w:tc>
          <w:tcPr>
            <w:tcW w:type="dxa" w:w="7056"/>
            <w:vAlign w:val="center"/>
            <w:shd w:fill="E8EDF2"/>
            <w:tcMar>
              <w:top w:w="95" w:type="dxa"/>
              <w:left w:w="95" w:type="dxa"/>
              <w:bottom w:w="95" w:type="dxa"/>
              <w:right w:w="95" w:type="dxa"/>
            </w:tcMar>
          </w:tcPr>
          <w:p>
            <w:pPr>
              <w:spacing w:after="20" w:before="20" w:line="252" w:lineRule="auto"/>
            </w:pPr>
            <w:r>
              <w:rPr>
                <w:b/>
                <w:sz w:val="20"/>
              </w:rPr>
              <w:t>Evidencia esperada</w:t>
            </w:r>
          </w:p>
        </w:tc>
      </w:tr>
      <w:tr>
        <w:trPr>
          <w:cantSplit/>
        </w:trPr>
        <w:tc>
          <w:tcPr>
            <w:tcW w:type="dxa" w:w="2160"/>
            <w:vAlign w:val="center"/>
            <w:shd w:fill="FFFFFF"/>
            <w:tcMar>
              <w:top w:w="95" w:type="dxa"/>
              <w:left w:w="95" w:type="dxa"/>
              <w:bottom w:w="95" w:type="dxa"/>
              <w:right w:w="95" w:type="dxa"/>
            </w:tcMar>
          </w:tcPr>
          <w:p>
            <w:pPr>
              <w:spacing w:after="20" w:before="20" w:line="252" w:lineRule="auto"/>
            </w:pPr>
            <w:r>
              <w:rPr>
                <w:b w:val="0"/>
                <w:sz w:val="20"/>
              </w:rPr>
              <w:t>Observación y contexto</w:t>
            </w:r>
          </w:p>
        </w:tc>
        <w:tc>
          <w:tcPr>
            <w:tcW w:type="dxa" w:w="864"/>
            <w:vAlign w:val="center"/>
            <w:shd w:fill="FFFFFF"/>
            <w:tcMar>
              <w:top w:w="95" w:type="dxa"/>
              <w:left w:w="95" w:type="dxa"/>
              <w:bottom w:w="95" w:type="dxa"/>
              <w:right w:w="95" w:type="dxa"/>
            </w:tcMar>
          </w:tcPr>
          <w:p>
            <w:pPr>
              <w:spacing w:after="20" w:before="20" w:line="252" w:lineRule="auto"/>
            </w:pPr>
            <w:r>
              <w:rPr>
                <w:b w:val="0"/>
                <w:sz w:val="20"/>
              </w:rPr>
              <w:t>30</w:t>
            </w:r>
          </w:p>
        </w:tc>
        <w:tc>
          <w:tcPr>
            <w:tcW w:type="dxa" w:w="7056"/>
            <w:vAlign w:val="center"/>
            <w:shd w:fill="FFFFFF"/>
            <w:tcMar>
              <w:top w:w="95" w:type="dxa"/>
              <w:left w:w="95" w:type="dxa"/>
              <w:bottom w:w="95" w:type="dxa"/>
              <w:right w:w="95" w:type="dxa"/>
            </w:tcMar>
          </w:tcPr>
          <w:p>
            <w:pPr>
              <w:spacing w:after="20" w:before="20" w:line="252" w:lineRule="auto"/>
            </w:pPr>
            <w:r>
              <w:rPr>
                <w:b w:val="0"/>
                <w:sz w:val="20"/>
              </w:rPr>
              <w:t>Cinco observaciones verificables y contexto pertinente</w:t>
            </w:r>
          </w:p>
        </w:tc>
      </w:tr>
      <w:tr>
        <w:trPr>
          <w:cantSplit/>
        </w:trPr>
        <w:tc>
          <w:tcPr>
            <w:tcW w:type="dxa" w:w="2160"/>
            <w:vAlign w:val="center"/>
            <w:shd w:fill="F5F7F9"/>
            <w:tcMar>
              <w:top w:w="95" w:type="dxa"/>
              <w:left w:w="95" w:type="dxa"/>
              <w:bottom w:w="95" w:type="dxa"/>
              <w:right w:w="95" w:type="dxa"/>
            </w:tcMar>
          </w:tcPr>
          <w:p>
            <w:pPr>
              <w:spacing w:after="20" w:before="20" w:line="252" w:lineRule="auto"/>
            </w:pPr>
            <w:r>
              <w:rPr>
                <w:b w:val="0"/>
                <w:sz w:val="20"/>
              </w:rPr>
              <w:t>Interpretación</w:t>
            </w:r>
          </w:p>
        </w:tc>
        <w:tc>
          <w:tcPr>
            <w:tcW w:type="dxa" w:w="864"/>
            <w:vAlign w:val="center"/>
            <w:shd w:fill="F5F7F9"/>
            <w:tcMar>
              <w:top w:w="95" w:type="dxa"/>
              <w:left w:w="95" w:type="dxa"/>
              <w:bottom w:w="95" w:type="dxa"/>
              <w:right w:w="95" w:type="dxa"/>
            </w:tcMar>
          </w:tcPr>
          <w:p>
            <w:pPr>
              <w:spacing w:after="20" w:before="20" w:line="252" w:lineRule="auto"/>
            </w:pPr>
            <w:r>
              <w:rPr>
                <w:b w:val="0"/>
                <w:sz w:val="20"/>
              </w:rPr>
              <w:t>25</w:t>
            </w:r>
          </w:p>
        </w:tc>
        <w:tc>
          <w:tcPr>
            <w:tcW w:type="dxa" w:w="7056"/>
            <w:vAlign w:val="center"/>
            <w:shd w:fill="F5F7F9"/>
            <w:tcMar>
              <w:top w:w="95" w:type="dxa"/>
              <w:left w:w="95" w:type="dxa"/>
              <w:bottom w:w="95" w:type="dxa"/>
              <w:right w:w="95" w:type="dxa"/>
            </w:tcMar>
          </w:tcPr>
          <w:p>
            <w:pPr>
              <w:spacing w:after="20" w:before="20" w:line="252" w:lineRule="auto"/>
            </w:pPr>
            <w:r>
              <w:rPr>
                <w:b w:val="0"/>
                <w:sz w:val="20"/>
              </w:rPr>
              <w:t>Idea central clara con dos evidencias y sin detalles inventados</w:t>
            </w:r>
          </w:p>
        </w:tc>
      </w:tr>
      <w:tr>
        <w:trPr>
          <w:cantSplit/>
        </w:trPr>
        <w:tc>
          <w:tcPr>
            <w:tcW w:type="dxa" w:w="2160"/>
            <w:vAlign w:val="center"/>
            <w:shd w:fill="FFFFFF"/>
            <w:tcMar>
              <w:top w:w="95" w:type="dxa"/>
              <w:left w:w="95" w:type="dxa"/>
              <w:bottom w:w="95" w:type="dxa"/>
              <w:right w:w="95" w:type="dxa"/>
            </w:tcMar>
          </w:tcPr>
          <w:p>
            <w:pPr>
              <w:spacing w:after="20" w:before="20" w:line="252" w:lineRule="auto"/>
            </w:pPr>
            <w:r>
              <w:rPr>
                <w:b w:val="0"/>
                <w:sz w:val="20"/>
              </w:rPr>
              <w:t>Relación con Cristo</w:t>
            </w:r>
          </w:p>
        </w:tc>
        <w:tc>
          <w:tcPr>
            <w:tcW w:type="dxa" w:w="864"/>
            <w:vAlign w:val="center"/>
            <w:shd w:fill="FFFFFF"/>
            <w:tcMar>
              <w:top w:w="95" w:type="dxa"/>
              <w:left w:w="95" w:type="dxa"/>
              <w:bottom w:w="95" w:type="dxa"/>
              <w:right w:w="95" w:type="dxa"/>
            </w:tcMar>
          </w:tcPr>
          <w:p>
            <w:pPr>
              <w:spacing w:after="20" w:before="20" w:line="252" w:lineRule="auto"/>
            </w:pPr>
            <w:r>
              <w:rPr>
                <w:b w:val="0"/>
                <w:sz w:val="20"/>
              </w:rPr>
              <w:t>20</w:t>
            </w:r>
          </w:p>
        </w:tc>
        <w:tc>
          <w:tcPr>
            <w:tcW w:type="dxa" w:w="7056"/>
            <w:vAlign w:val="center"/>
            <w:shd w:fill="FFFFFF"/>
            <w:tcMar>
              <w:top w:w="95" w:type="dxa"/>
              <w:left w:w="95" w:type="dxa"/>
              <w:bottom w:w="95" w:type="dxa"/>
              <w:right w:w="95" w:type="dxa"/>
            </w:tcMar>
          </w:tcPr>
          <w:p>
            <w:pPr>
              <w:spacing w:after="20" w:before="20" w:line="252" w:lineRule="auto"/>
            </w:pPr>
            <w:r>
              <w:rPr>
                <w:b w:val="0"/>
                <w:sz w:val="20"/>
              </w:rPr>
              <w:t>Conexión justificada y coherencia con la gracia del evangelio</w:t>
            </w:r>
          </w:p>
        </w:tc>
      </w:tr>
      <w:tr>
        <w:trPr>
          <w:cantSplit/>
        </w:trPr>
        <w:tc>
          <w:tcPr>
            <w:tcW w:type="dxa" w:w="2160"/>
            <w:vAlign w:val="center"/>
            <w:shd w:fill="F5F7F9"/>
            <w:tcMar>
              <w:top w:w="95" w:type="dxa"/>
              <w:left w:w="95" w:type="dxa"/>
              <w:bottom w:w="95" w:type="dxa"/>
              <w:right w:w="95" w:type="dxa"/>
            </w:tcMar>
          </w:tcPr>
          <w:p>
            <w:pPr>
              <w:spacing w:after="20" w:before="20" w:line="252" w:lineRule="auto"/>
            </w:pPr>
            <w:r>
              <w:rPr>
                <w:b w:val="0"/>
                <w:sz w:val="20"/>
              </w:rPr>
              <w:t>Aplicación</w:t>
            </w:r>
          </w:p>
        </w:tc>
        <w:tc>
          <w:tcPr>
            <w:tcW w:type="dxa" w:w="864"/>
            <w:vAlign w:val="center"/>
            <w:shd w:fill="F5F7F9"/>
            <w:tcMar>
              <w:top w:w="95" w:type="dxa"/>
              <w:left w:w="95" w:type="dxa"/>
              <w:bottom w:w="95" w:type="dxa"/>
              <w:right w:w="95" w:type="dxa"/>
            </w:tcMar>
          </w:tcPr>
          <w:p>
            <w:pPr>
              <w:spacing w:after="20" w:before="20" w:line="252" w:lineRule="auto"/>
            </w:pPr>
            <w:r>
              <w:rPr>
                <w:b w:val="0"/>
                <w:sz w:val="20"/>
              </w:rPr>
              <w:t>15</w:t>
            </w:r>
          </w:p>
        </w:tc>
        <w:tc>
          <w:tcPr>
            <w:tcW w:type="dxa" w:w="7056"/>
            <w:vAlign w:val="center"/>
            <w:shd w:fill="F5F7F9"/>
            <w:tcMar>
              <w:top w:w="95" w:type="dxa"/>
              <w:left w:w="95" w:type="dxa"/>
              <w:bottom w:w="95" w:type="dxa"/>
              <w:right w:w="95" w:type="dxa"/>
            </w:tcMar>
          </w:tcPr>
          <w:p>
            <w:pPr>
              <w:spacing w:after="20" w:before="20" w:line="252" w:lineRule="auto"/>
            </w:pPr>
            <w:r>
              <w:rPr>
                <w:b w:val="0"/>
                <w:sz w:val="20"/>
              </w:rPr>
              <w:t>Acción fiel al texto, viable, concreta y revisable</w:t>
            </w:r>
          </w:p>
        </w:tc>
      </w:tr>
      <w:tr>
        <w:trPr>
          <w:cantSplit/>
        </w:trPr>
        <w:tc>
          <w:tcPr>
            <w:tcW w:type="dxa" w:w="2160"/>
            <w:vAlign w:val="center"/>
            <w:shd w:fill="FFFFFF"/>
            <w:tcMar>
              <w:top w:w="95" w:type="dxa"/>
              <w:left w:w="95" w:type="dxa"/>
              <w:bottom w:w="95" w:type="dxa"/>
              <w:right w:w="95" w:type="dxa"/>
            </w:tcMar>
          </w:tcPr>
          <w:p>
            <w:pPr>
              <w:spacing w:after="20" w:before="20" w:line="252" w:lineRule="auto"/>
            </w:pPr>
            <w:r>
              <w:rPr>
                <w:b w:val="0"/>
                <w:sz w:val="20"/>
              </w:rPr>
              <w:t>Claridad y transparencia</w:t>
            </w:r>
          </w:p>
        </w:tc>
        <w:tc>
          <w:tcPr>
            <w:tcW w:type="dxa" w:w="864"/>
            <w:vAlign w:val="center"/>
            <w:shd w:fill="FFFFFF"/>
            <w:tcMar>
              <w:top w:w="95" w:type="dxa"/>
              <w:left w:w="95" w:type="dxa"/>
              <w:bottom w:w="95" w:type="dxa"/>
              <w:right w:w="95" w:type="dxa"/>
            </w:tcMar>
          </w:tcPr>
          <w:p>
            <w:pPr>
              <w:spacing w:after="20" w:before="20" w:line="252" w:lineRule="auto"/>
            </w:pPr>
            <w:r>
              <w:rPr>
                <w:b w:val="0"/>
                <w:sz w:val="20"/>
              </w:rPr>
              <w:t>10</w:t>
            </w:r>
          </w:p>
        </w:tc>
        <w:tc>
          <w:tcPr>
            <w:tcW w:type="dxa" w:w="7056"/>
            <w:vAlign w:val="center"/>
            <w:shd w:fill="FFFFFF"/>
            <w:tcMar>
              <w:top w:w="95" w:type="dxa"/>
              <w:left w:w="95" w:type="dxa"/>
              <w:bottom w:w="95" w:type="dxa"/>
              <w:right w:w="95" w:type="dxa"/>
            </w:tcMar>
          </w:tcPr>
          <w:p>
            <w:pPr>
              <w:spacing w:after="20" w:before="20" w:line="252" w:lineRule="auto"/>
            </w:pPr>
            <w:r>
              <w:rPr>
                <w:b w:val="0"/>
                <w:sz w:val="20"/>
              </w:rPr>
              <w:t>Orden, referencias identificables y uso de ayudas declarado</w:t>
            </w:r>
          </w:p>
        </w:tc>
      </w:tr>
      <w:tr>
        <w:trPr>
          <w:trHeight w:val="504" w:hRule="atLeast"/>
          <w:cantSplit/>
        </w:trPr>
        <w:tc>
          <w:tcPr>
            <w:tcW w:type="dxa" w:w="2160"/>
            <w:vAlign w:val="center"/>
            <w:shd w:fill="F5F7F9"/>
            <w:tcMar>
              <w:top w:w="95" w:type="dxa"/>
              <w:left w:w="95" w:type="dxa"/>
              <w:bottom w:w="95" w:type="dxa"/>
              <w:right w:w="95" w:type="dxa"/>
            </w:tcMar>
          </w:tcPr>
          <w:p>
            <w:pPr>
              <w:spacing w:after="20" w:before="20" w:line="252" w:lineRule="auto"/>
            </w:pPr>
            <w:r>
              <w:rPr>
                <w:b w:val="0"/>
                <w:sz w:val="20"/>
              </w:rPr>
              <w:t>Total</w:t>
            </w:r>
          </w:p>
        </w:tc>
        <w:tc>
          <w:tcPr>
            <w:tcW w:type="dxa" w:w="864"/>
            <w:vAlign w:val="center"/>
            <w:shd w:fill="F5F7F9"/>
            <w:tcMar>
              <w:top w:w="95" w:type="dxa"/>
              <w:left w:w="95" w:type="dxa"/>
              <w:bottom w:w="95" w:type="dxa"/>
              <w:right w:w="95" w:type="dxa"/>
            </w:tcMar>
          </w:tcPr>
          <w:p>
            <w:pPr>
              <w:spacing w:after="20" w:before="20" w:line="252" w:lineRule="auto"/>
            </w:pPr>
            <w:r>
              <w:rPr>
                <w:b w:val="0"/>
                <w:sz w:val="20"/>
              </w:rPr>
              <w:t>100</w:t>
            </w:r>
          </w:p>
        </w:tc>
        <w:tc>
          <w:tcPr>
            <w:tcW w:type="dxa" w:w="7056"/>
            <w:vAlign w:val="center"/>
            <w:shd w:fill="F5F7F9"/>
            <w:tcMar>
              <w:top w:w="95" w:type="dxa"/>
              <w:left w:w="95" w:type="dxa"/>
              <w:bottom w:w="95" w:type="dxa"/>
              <w:right w:w="95" w:type="dxa"/>
            </w:tcMar>
          </w:tcPr>
          <w:p>
            <w:pPr>
              <w:spacing w:after="20" w:before="20" w:line="252" w:lineRule="auto"/>
            </w:pPr>
          </w:p>
        </w:tc>
      </w:tr>
    </w:tbl>
    <w:p>
      <w:pPr>
        <w:spacing w:after="40"/>
      </w:pPr>
    </w:p>
    <w:p>
      <w:pPr>
        <w:widowControl/>
      </w:pPr>
      <w:r>
        <w:t>En cada criterio, asigna todos los puntos si la evidencia está completa; aproximadamente la mitad si está incompleta o necesita correcciones relevantes; y cero si falta o contradice el pasaje sin justificarlo. Puedes usar valores intermedios explicando la razón. Meta orientativa: 70 puntos. Revisa las observaciones recibidas y presenta una versión corregida cuando sea necesario.</w:t>
      </w:r>
    </w:p>
    <w:p>
      <w:pPr>
        <w:widowControl/>
      </w:pPr>
      <w:r>
        <w:t>Esta práctica permite revisar el aprendizaje. No anuncia un diploma, certificación o reconocimiento oficial del curso gratuito.</w:t>
      </w:r>
    </w:p>
    <w:p>
      <w:r>
        <w:br w:type="page"/>
      </w:r>
    </w:p>
    <w:p>
      <w:pPr>
        <w:pStyle w:val="Heading1"/>
      </w:pPr>
      <w:r>
        <w:t>Mi estudio final</w:t>
      </w:r>
    </w:p>
    <w:p>
      <w:pPr>
        <w:widowControl/>
      </w:pPr>
      <w:r>
        <w:rPr>
          <w:b/>
        </w:rPr>
        <w:t>Nombre, fecha y traducción utilizada:</w:t>
      </w:r>
    </w:p>
    <w:p>
      <w:pPr>
        <w:keepNext w:val="0"/>
        <w:spacing w:after="0" w:line="240" w:lineRule="exact"/>
      </w:pPr>
      <w:r/>
    </w:p>
    <w:p>
      <w:pPr>
        <w:widowControl/>
      </w:pPr>
      <w:r>
        <w:rPr>
          <w:b/>
        </w:rPr>
        <w:t>Pasaje:</w:t>
      </w:r>
      <w:r>
        <w:t xml:space="preserve"> Lucas 10:38–42</w:t>
      </w:r>
    </w:p>
    <w:p>
      <w:pPr>
        <w:widowControl/>
      </w:pPr>
      <w:r>
        <w:rPr>
          <w:b/>
        </w:rPr>
        <w:t>Observaciones y contexto</w:t>
      </w:r>
    </w:p>
    <w:p>
      <w:pPr>
        <w:keepNext w:val="0"/>
        <w:spacing w:after="0" w:line="240" w:lineRule="exact"/>
      </w:pPr>
      <w:r>
        <w:br/>
        <w:br/>
        <w:br/>
        <w:br/>
        <w:br/>
      </w:r>
    </w:p>
    <w:p>
      <w:pPr>
        <w:widowControl/>
      </w:pPr>
      <w:r>
        <w:rPr>
          <w:b/>
        </w:rPr>
        <w:t>Idea central y evidencias</w:t>
      </w:r>
    </w:p>
    <w:p>
      <w:pPr>
        <w:keepNext w:val="0"/>
        <w:spacing w:after="0" w:line="240" w:lineRule="exact"/>
      </w:pPr>
      <w:r>
        <w:br/>
        <w:br/>
        <w:br/>
      </w:r>
    </w:p>
    <w:p>
      <w:pPr>
        <w:widowControl/>
      </w:pPr>
      <w:r>
        <w:rPr>
          <w:b/>
        </w:rPr>
        <w:t>Relación con Jesucristo</w:t>
      </w:r>
    </w:p>
    <w:p>
      <w:pPr>
        <w:keepNext w:val="0"/>
        <w:spacing w:after="0" w:line="240" w:lineRule="exact"/>
      </w:pPr>
      <w:r>
        <w:br/>
        <w:br/>
        <w:br/>
      </w:r>
    </w:p>
    <w:p>
      <w:pPr>
        <w:widowControl/>
      </w:pPr>
      <w:r>
        <w:rPr>
          <w:b/>
        </w:rPr>
        <w:t>Aplicación y forma de revisarla</w:t>
      </w:r>
    </w:p>
    <w:p>
      <w:pPr>
        <w:keepNext w:val="0"/>
        <w:spacing w:after="0" w:line="240" w:lineRule="exact"/>
      </w:pPr>
      <w:r>
        <w:br/>
        <w:br/>
        <w:br/>
      </w:r>
    </w:p>
    <w:p>
      <w:pPr>
        <w:widowControl/>
      </w:pPr>
      <w:r>
        <w:rPr>
          <w:b/>
        </w:rPr>
        <w:t>Fuentes y ayudas utilizadas</w:t>
      </w:r>
    </w:p>
    <w:p>
      <w:pPr>
        <w:keepNext w:val="0"/>
        <w:spacing w:after="0" w:line="240" w:lineRule="exact"/>
      </w:pPr>
      <w:r>
        <w:br/>
      </w:r>
    </w:p>
    <w:p>
      <w:pPr>
        <w:widowControl/>
      </w:pPr>
      <w:r>
        <w:t>Continúa en otra hoja si la necesitas para completar las 350–500 palabras.</w:t>
      </w:r>
    </w:p>
    <w:p>
      <w:r>
        <w:br w:type="page"/>
      </w:r>
    </w:p>
    <w:p>
      <w:pPr>
        <w:pStyle w:val="Heading1"/>
      </w:pPr>
      <w:r>
        <w:t>Respuestas orientativas de las clases 1 a 3</w:t>
      </w:r>
    </w:p>
    <w:p>
      <w:pPr>
        <w:widowControl/>
      </w:pPr>
      <w:r>
        <w:t>Consulta esta sección después de intentar los ejercicios. Las preguntas abiertas admiten formulaciones distintas si respetan el contexto y muestran evidencias. Si tu respuesta difiere, compara las razones y vuelve a leer el pasaje.</w:t>
      </w:r>
    </w:p>
    <w:p>
      <w:pPr>
        <w:pStyle w:val="Heading2"/>
      </w:pPr>
      <w:r>
        <w:t>Clase 1</w:t>
      </w:r>
    </w:p>
    <w:p>
      <w:pPr>
        <w:widowControl/>
      </w:pPr>
      <w:r>
        <w:t>Génesis: Antiguo Testamento, narrativa predominante. Salmos: Antiguo Testamento, poesía y oración. Marcos: Nuevo Testamento, evangelio con relatos y enseñanzas. Romanos: Nuevo Testamento, carta. Apocalipsis: Nuevo Testamento, revelación apocalíptica y profecía en forma de carta.</w:t>
      </w:r>
    </w:p>
    <w:p>
      <w:pPr>
        <w:widowControl/>
      </w:pPr>
      <w:r>
        <w:t>Lucas 24:44–49 vincula las Escrituras con la obra del Mesías y el anuncio del arrepentimiento y el perdón. Para explicar los géneros, una buena respuesta reconoce que las imágenes poéticas se interpretan según su función y que una carta exige seguir su argumento y atender a sus destinatarios.</w:t>
      </w:r>
    </w:p>
    <w:p>
      <w:pPr>
        <w:pStyle w:val="Heading2"/>
      </w:pPr>
      <w:r>
        <w:t>Clase 2</w:t>
      </w:r>
    </w:p>
    <w:p>
      <w:pPr>
        <w:widowControl/>
      </w:pPr>
      <w:r>
        <w:t>El tema del párrafo incluye gratitud por la ayuda recibida, contentamiento y confianza en Dios. Los versículos 11 y 12 contrastan condiciones de necesidad y abundancia; ese contexto delimita el alcance de la afirmación del versículo 13. Una respuesta sólida evita convertirlo en una garantía de éxito para cualquier proyecto.</w:t>
      </w:r>
    </w:p>
    <w:p>
      <w:pPr>
        <w:widowControl/>
      </w:pPr>
      <w:r>
        <w:t>Una aplicación posible reconoce una dificultad y expresa dependencia de Cristo sin negar el dolor ni rechazar ayuda. La confianza no permite diagnosticar poca fe por el fracaso de una meta personal. Para comprobar una respuesta, pide que muestre cómo utiliza el párrafo, no solamente el versículo aislado.</w:t>
      </w:r>
    </w:p>
    <w:p>
      <w:pPr>
        <w:pStyle w:val="Heading2"/>
      </w:pPr>
      <w:r>
        <w:t>Clase 3</w:t>
      </w:r>
    </w:p>
    <w:p>
      <w:pPr>
        <w:widowControl/>
      </w:pPr>
      <w:r>
        <w:t>Ejemplos de observaciones: hay una propuesta de traslado en 4:35; la escena incluye otras barcas en 4:36; Jesús duerme en 4:38; dirige preguntas a los discípulos en 4:40; ellos formulan una pregunta sobre su identidad en 4:41. Se aceptan otras observaciones comprobables.</w:t>
      </w:r>
    </w:p>
    <w:p>
      <w:pPr>
        <w:widowControl/>
      </w:pPr>
      <w:r>
        <w:t>La estructura puede describirse como traslado, peligro, intervención de Jesús y reacción final. Al estudiar el cierre, una buena respuesta advierte que el relato dirige la atención hacia quién es Jesús. Conviene distinguir esa observación de la conclusión teológica que se elaborará a partir de ella.</w:t>
      </w:r>
    </w:p>
    <w:p>
      <w:pPr>
        <w:widowControl/>
      </w:pPr>
      <w:r>
        <w:rPr>
          <w:b/>
        </w:rPr>
        <w:t>Para todas las respuestas:</w:t>
      </w:r>
      <w:r>
        <w:t xml:space="preserve"> un detalle que el texto no explica puede quedar como pregunta abierta. No es necesario inventar una respuesta para completar el ejercicio.</w:t>
      </w:r>
    </w:p>
    <w:p>
      <w:r>
        <w:br w:type="page"/>
      </w:r>
    </w:p>
    <w:p>
      <w:pPr>
        <w:pStyle w:val="Heading1"/>
      </w:pPr>
      <w:r>
        <w:t>Respuestas orientativas de las clases 4 a 6</w:t>
      </w:r>
    </w:p>
    <w:p>
      <w:pPr>
        <w:pStyle w:val="Heading2"/>
      </w:pPr>
      <w:r>
        <w:t>Clase 4</w:t>
      </w:r>
    </w:p>
    <w:p>
      <w:pPr>
        <w:widowControl/>
      </w:pPr>
      <w:r>
        <w:t>Clasificación de las cuatro frases: observación, interpretación, especulación y aplicación, en ese orden. La tercera frase asigna un significado a las olas sin mostrar evidencia. La cuarta puede ser una aplicación apropiada, pero debe relacionarse con una interpretación sustentada.</w:t>
      </w:r>
    </w:p>
    <w:p>
      <w:pPr>
        <w:widowControl/>
      </w:pPr>
      <w:r>
        <w:t>Idea central posible: Jesús manifiesta su autoridad y confronta el temor y la falta de fe de sus discípulos, quienes se preguntan por su identidad. Una formulación distinta puede ser válida si explica la escena completa. Una promesa universal de solución inmediata necesita evidencia que este relato no establece.</w:t>
      </w:r>
    </w:p>
    <w:p>
      <w:pPr>
        <w:pStyle w:val="Heading2"/>
      </w:pPr>
      <w:r>
        <w:t>Clase 5</w:t>
      </w:r>
    </w:p>
    <w:p>
      <w:pPr>
        <w:widowControl/>
      </w:pPr>
      <w:r>
        <w:t>En Lucas 24:25–27 Jesús ayuda a comprender su sufrimiento y su gloria a partir de las Escrituras. La respuesta debe situar esas palabras dentro de la conversación de Emaús. El relato no enumera todos los pasajes que explicó.</w:t>
      </w:r>
    </w:p>
    <w:p>
      <w:pPr>
        <w:widowControl/>
      </w:pPr>
      <w:r>
        <w:t>Primera de Corintios 5:7–8 vincula explícitamente a Cristo con la Pascua. Esa referencia permite estudiar la relación con Éxodo 12 y observar su uso ético en la carta. No demuestra un significado secreto para cada detalle. Lucas 24:49 y Hechos 1:4–8 relacionan la promesa del Padre, la enseñanza del Hijo y el poder del Espíritu para el testimonio.</w:t>
      </w:r>
    </w:p>
    <w:p>
      <w:pPr>
        <w:pStyle w:val="Heading2"/>
      </w:pPr>
      <w:r>
        <w:t>Clase 6</w:t>
      </w:r>
    </w:p>
    <w:p>
      <w:pPr>
        <w:widowControl/>
      </w:pPr>
      <w:r>
        <w:t>Una interpretación posible afirma la prioridad de escuchar la palabra de Jesús frente a la preocupación que distrae mientras se sirve. El contexto cercano del buen samaritano ayuda a evitar que se desprecie el servicio misericordioso.</w:t>
      </w:r>
    </w:p>
    <w:p>
      <w:pPr>
        <w:widowControl/>
      </w:pPr>
      <w:r>
        <w:t>La aplicación puede organizar un momento de lectura y oración o revisar cómo un equipo escucha a Cristo mientras sirve. El horario y la cantidad de minutos son decisiones prácticas. No constituyen una condición para recibir la gracia ni una medida para juzgar la fe de otras personas.</w:t>
      </w:r>
    </w:p>
    <w:p>
      <w:pPr>
        <w:pStyle w:val="Heading2"/>
      </w:pPr>
      <w:r>
        <w:t>Revisión del trabajo final</w:t>
      </w:r>
    </w:p>
    <w:p>
      <w:pPr>
        <w:widowControl/>
      </w:pPr>
      <w:r>
        <w:t>No hay una única redacción modelo para copiar. Comprueba que cada observación tenga referencia; que el contexto ayude de verdad; que la idea central explique la respuesta de Jesús; que la relación con él sea directa y justificada; y que la aplicación tenga acción, momento y revisión.</w:t>
      </w:r>
    </w:p>
    <w:p>
      <w:pPr>
        <w:widowControl/>
      </w:pPr>
      <w:r>
        <w:t>Si estudias con un compañero, pídele una observación que hayas pasado por alto y una pregunta sobre tu aplicación. Revisa con la rúbrica y corrige lo que no puedes sostener con el texto.</w:t>
      </w:r>
    </w:p>
    <w:p>
      <w:r>
        <w:br w:type="page"/>
      </w:r>
    </w:p>
    <w:p>
      <w:pPr>
        <w:pStyle w:val="Heading1"/>
      </w:pPr>
      <w:r>
        <w:t>Glosario y recursos de consulta</w:t>
      </w:r>
    </w:p>
    <w:p>
      <w:pPr>
        <w:widowControl/>
      </w:pPr>
      <w:r>
        <w:rPr>
          <w:b/>
        </w:rPr>
        <w:t>Canon:</w:t>
      </w:r>
      <w:r>
        <w:t xml:space="preserve"> colección de libros reconocidos como Escritura por una comunidad de fe. Este curso utiliza el canon protestante de 66 libros.</w:t>
      </w:r>
    </w:p>
    <w:p>
      <w:pPr>
        <w:widowControl/>
      </w:pPr>
      <w:r>
        <w:rPr>
          <w:b/>
        </w:rPr>
        <w:t>Contexto inmediato:</w:t>
      </w:r>
      <w:r>
        <w:t xml:space="preserve"> frases y párrafos que rodean una expresión. </w:t>
      </w:r>
      <w:r>
        <w:rPr>
          <w:b/>
        </w:rPr>
        <w:t>Contexto canónico:</w:t>
      </w:r>
      <w:r>
        <w:t xml:space="preserve"> relación de un pasaje con el conjunto de las Escrituras.</w:t>
      </w:r>
    </w:p>
    <w:p>
      <w:pPr>
        <w:widowControl/>
      </w:pPr>
      <w:r>
        <w:rPr>
          <w:b/>
        </w:rPr>
        <w:t>Género literario:</w:t>
      </w:r>
      <w:r>
        <w:t xml:space="preserve"> forma de escritura que orienta cómo se comunica el mensaje, por ejemplo, narrativa, poesía o carta.</w:t>
      </w:r>
    </w:p>
    <w:p>
      <w:pPr>
        <w:widowControl/>
      </w:pPr>
      <w:r>
        <w:rPr>
          <w:b/>
        </w:rPr>
        <w:t>Observación:</w:t>
      </w:r>
      <w:r>
        <w:t xml:space="preserve"> descripción comprobable de lo que aparece. </w:t>
      </w:r>
      <w:r>
        <w:rPr>
          <w:b/>
        </w:rPr>
        <w:t>Interpretación:</w:t>
      </w:r>
      <w:r>
        <w:t xml:space="preserve"> explicación argumentada de lo que comunica el texto. </w:t>
      </w:r>
      <w:r>
        <w:rPr>
          <w:b/>
        </w:rPr>
        <w:t>Aplicación:</w:t>
      </w:r>
      <w:r>
        <w:t xml:space="preserve"> respuesta actual que conserva esa enseñanza.</w:t>
      </w:r>
    </w:p>
    <w:p>
      <w:pPr>
        <w:widowControl/>
      </w:pPr>
      <w:r>
        <w:rPr>
          <w:b/>
        </w:rPr>
        <w:t>Inferencia:</w:t>
      </w:r>
      <w:r>
        <w:t xml:space="preserve"> conclusión derivada de evidencias. Debe mostrar sus razones y su grado de certeza. </w:t>
      </w:r>
      <w:r>
        <w:rPr>
          <w:b/>
        </w:rPr>
        <w:t>Especulación:</w:t>
      </w:r>
      <w:r>
        <w:t xml:space="preserve"> propuesta que no cuenta con apoyo suficiente para enseñarse como conclusión segura.</w:t>
      </w:r>
    </w:p>
    <w:p>
      <w:pPr>
        <w:widowControl/>
      </w:pPr>
      <w:r>
        <w:rPr>
          <w:b/>
        </w:rPr>
        <w:t>Exégesis:</w:t>
      </w:r>
      <w:r>
        <w:t xml:space="preserve"> estudio del sentido de un pasaje en su contexto. </w:t>
      </w:r>
      <w:r>
        <w:rPr>
          <w:b/>
        </w:rPr>
        <w:t>Hermenéutica:</w:t>
      </w:r>
      <w:r>
        <w:t xml:space="preserve"> reflexión sobre los principios y el proceso de interpretación.</w:t>
      </w:r>
    </w:p>
    <w:p>
      <w:pPr>
        <w:widowControl/>
      </w:pPr>
      <w:r>
        <w:rPr>
          <w:b/>
        </w:rPr>
        <w:t>Tipología:</w:t>
      </w:r>
      <w:r>
        <w:t xml:space="preserve"> correspondencia entre realidades anteriores y su cumplimiento posterior, especialmente en Cristo, sustentada en las Escrituras. </w:t>
      </w:r>
      <w:r>
        <w:rPr>
          <w:b/>
        </w:rPr>
        <w:t>Alegoría arbitraria:</w:t>
      </w:r>
      <w:r>
        <w:t xml:space="preserve"> atribución de significados espirituales sin fundamento suficiente en el texto y su contexto.</w:t>
      </w:r>
    </w:p>
    <w:p>
      <w:pPr>
        <w:widowControl/>
      </w:pPr>
      <w:r>
        <w:rPr>
          <w:b/>
        </w:rPr>
        <w:t>Cristocéntrico:</w:t>
      </w:r>
      <w:r>
        <w:t xml:space="preserve"> orientado por la persona y obra de Jesucristo y por el testimonio bíblico que culmina en él. </w:t>
      </w:r>
      <w:r>
        <w:rPr>
          <w:b/>
        </w:rPr>
        <w:t>Trinidad:</w:t>
      </w:r>
      <w:r>
        <w:t xml:space="preserve"> un solo Dios, eternamente Padre, Hijo y Espíritu Santo, tres personas distintas y plenamente divinas.</w:t>
      </w:r>
    </w:p>
    <w:p>
      <w:pPr>
        <w:pStyle w:val="Heading2"/>
      </w:pPr>
      <w:r>
        <w:t>Recursos para verificar</w:t>
      </w:r>
    </w:p>
    <w:p>
      <w:pPr>
        <w:widowControl/>
      </w:pPr>
      <w:r>
        <w:t>La fuente principal de este curso es la Biblia. Consulta los pasajes completos y distingue el texto de las notas editoriales. Si utilizas un comentario, identifica autor, obra y postura; compara sus razones con el pasaje. Las respuestas de IA también necesitan verificación y no sustituyen fuentes comprobables.</w:t>
      </w:r>
    </w:p>
    <w:p>
      <w:pPr>
        <w:widowControl/>
      </w:pPr>
      <w:r>
        <w:t>Pasajes centrales consultables en Bible Gateway, versión RVR1960:</w:t>
      </w:r>
    </w:p>
    <w:p>
      <w:pPr>
        <w:pStyle w:val="ListBullet"/>
        <w:widowControl/>
      </w:pPr>
      <w:r>
        <w:t>Filipenses 4:10–20: https://www.biblegateway.com/passage/?search=Filipenses+4%3A10-20&amp;version=RVR1960</w:t>
      </w:r>
    </w:p>
    <w:p>
      <w:pPr>
        <w:pStyle w:val="ListBullet"/>
        <w:widowControl/>
      </w:pPr>
      <w:r>
        <w:t>Marcos 4:35–41: https://www.biblegateway.com/passage/?search=Marcos+4%3A35-41&amp;version=RVR1960</w:t>
      </w:r>
    </w:p>
    <w:p>
      <w:pPr>
        <w:pStyle w:val="ListBullet"/>
        <w:widowControl/>
      </w:pPr>
      <w:r>
        <w:t>Lucas 24:13–49: https://www.biblegateway.com/passage/?search=Lucas+24%3A13-49&amp;version=RVR1960</w:t>
      </w:r>
    </w:p>
    <w:p>
      <w:pPr>
        <w:pStyle w:val="ListBullet"/>
        <w:widowControl/>
      </w:pPr>
      <w:r>
        <w:t>Lucas 10:38–42: https://www.biblegateway.com/passage/?search=Lucas+10%3A38-42&amp;version=RVR1960</w:t>
      </w:r>
    </w:p>
    <w:p>
      <w:pPr>
        <w:widowControl/>
      </w:pPr>
      <w:r>
        <w:t>Consulta: 6 de noviembre de 2026. La guía no reproduce los pasajes completos. Abre tu Biblia para leerlos y verificar cada explicación.</w:t>
      </w:r>
    </w:p>
    <w:sectPr w:rsidR="00FC693F" w:rsidRPr="0006063C" w:rsidSect="00034616">
      <w:footerReference w:type="default" r:id="rId9"/>
      <w:pgSz w:w="12240" w:h="15840"/>
      <w:pgMar w:top="1008" w:right="1080" w:bottom="936" w:left="1080" w:header="720"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59" w:lineRule="auto" w:after="120"/>
    </w:pPr>
    <w:rPr>
      <w:rFonts w:ascii="Calibri" w:hAnsi="Calibri"/>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140"/>
      <w:outlineLvl w:val="0"/>
    </w:pPr>
    <w:rPr>
      <w:rFonts w:asciiTheme="majorHAnsi" w:eastAsiaTheme="majorEastAsia" w:hAnsiTheme="majorHAnsi" w:cstheme="majorBidi" w:ascii="Calibri" w:hAnsi="Calibri"/>
      <w:b/>
      <w:bCs/>
      <w:color w:val="000000"/>
      <w:sz w:val="34"/>
      <w:szCs w:val="28"/>
    </w:rPr>
  </w:style>
  <w:style w:type="paragraph" w:styleId="Heading2">
    <w:name w:val="heading 2"/>
    <w:basedOn w:val="Normal"/>
    <w:next w:val="Normal"/>
    <w:link w:val="Heading2Char"/>
    <w:uiPriority w:val="9"/>
    <w:unhideWhenUsed/>
    <w:qFormat/>
    <w:rsid w:val="00FC693F"/>
    <w:pPr>
      <w:keepNext/>
      <w:keepLines/>
      <w:spacing w:before="200" w:after="140"/>
      <w:outlineLvl w:val="1"/>
    </w:pPr>
    <w:rPr>
      <w:rFonts w:asciiTheme="majorHAnsi" w:eastAsiaTheme="majorEastAsia" w:hAnsiTheme="majorHAnsi" w:cstheme="majorBidi" w:ascii="Calibri" w:hAnsi="Calibri"/>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140"/>
      <w:outlineLvl w:val="2"/>
    </w:pPr>
    <w:rPr>
      <w:rFonts w:asciiTheme="majorHAnsi" w:eastAsiaTheme="majorEastAsia" w:hAnsiTheme="majorHAnsi" w:cstheme="majorBidi" w:ascii="Calibri" w:hAnsi="Calibri"/>
      <w:b/>
      <w:bCs/>
      <w:color w:val="000000"/>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140" w:line="240" w:lineRule="auto" w:before="200"/>
      <w:contextualSpacing/>
    </w:pPr>
    <w:rPr>
      <w:rFonts w:asciiTheme="majorHAnsi" w:eastAsiaTheme="majorEastAsia" w:hAnsiTheme="majorHAnsi" w:cstheme="majorBidi" w:ascii="Calibri" w:hAnsi="Calibri"/>
      <w:color w:val="000000"/>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Cómo leer la Biblia sin perderte</dc:title>
  <dc:subject>Guía del alumno</dc:subject>
  <dc:creator>Eduardo Lauria</dc:creator>
  <cp:keywords/>
  <dc:description>generated by python-docx</dc:description>
  <cp:lastModifiedBy/>
  <cp:revision>1</cp:revision>
  <dcterms:created xsi:type="dcterms:W3CDTF">2013-12-23T23:15:00Z</dcterms:created>
  <dcterms:modified xsi:type="dcterms:W3CDTF">2013-12-23T23:15:00Z</dcterms:modified>
  <cp:category/>
</cp:coreProperties>
</file>